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831" w:rsidRPr="00623831" w:rsidRDefault="00623831" w:rsidP="00623831">
      <w:pPr>
        <w:shd w:val="clear" w:color="auto" w:fill="FFFFFF"/>
        <w:spacing w:after="240" w:line="240" w:lineRule="auto"/>
        <w:jc w:val="center"/>
        <w:rPr>
          <w:rFonts w:ascii="Arial" w:eastAsia="Times New Roman" w:hAnsi="Arial" w:cs="Arial"/>
          <w:sz w:val="24"/>
          <w:szCs w:val="24"/>
        </w:rPr>
      </w:pPr>
      <w:r w:rsidRPr="00623831">
        <w:rPr>
          <w:rFonts w:ascii="Arial" w:eastAsia="Times New Roman" w:hAnsi="Arial" w:cs="Arial"/>
          <w:b/>
          <w:bCs/>
          <w:sz w:val="30"/>
          <w:szCs w:val="30"/>
        </w:rPr>
        <w:t>Indicators</w:t>
      </w:r>
    </w:p>
    <w:p w:rsidR="00623831" w:rsidRPr="00623831" w:rsidRDefault="00623831" w:rsidP="00623831">
      <w:pPr>
        <w:shd w:val="clear" w:color="auto" w:fill="FFFFFF"/>
        <w:spacing w:after="12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g">
            <w:drawing>
              <wp:anchor distT="0" distB="0" distL="114300" distR="114300" simplePos="0" relativeHeight="251661312" behindDoc="0" locked="0" layoutInCell="1" allowOverlap="1">
                <wp:simplePos x="0" y="0"/>
                <wp:positionH relativeFrom="column">
                  <wp:posOffset>2023745</wp:posOffset>
                </wp:positionH>
                <wp:positionV relativeFrom="paragraph">
                  <wp:posOffset>1120140</wp:posOffset>
                </wp:positionV>
                <wp:extent cx="2229485" cy="59690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2229485" cy="596900"/>
                          <a:chOff x="0" y="0"/>
                          <a:chExt cx="2229485" cy="596900"/>
                        </a:xfrm>
                      </wpg:grpSpPr>
                      <wps:wsp>
                        <wps:cNvPr id="217" name="Text Box 2"/>
                        <wps:cNvSpPr txBox="1">
                          <a:spLocks noChangeArrowheads="1"/>
                        </wps:cNvSpPr>
                        <wps:spPr bwMode="auto">
                          <a:xfrm>
                            <a:off x="0" y="0"/>
                            <a:ext cx="2229485" cy="596900"/>
                          </a:xfrm>
                          <a:prstGeom prst="rect">
                            <a:avLst/>
                          </a:prstGeom>
                          <a:solidFill>
                            <a:srgbClr val="FFFFFF"/>
                          </a:solidFill>
                          <a:ln w="9525">
                            <a:noFill/>
                            <a:miter lim="800000"/>
                            <a:headEnd/>
                            <a:tailEnd/>
                          </a:ln>
                        </wps:spPr>
                        <wps:txbx>
                          <w:txbxContent>
                            <w:p w:rsidR="00623831" w:rsidRDefault="00623831" w:rsidP="00623831">
                              <w:pPr>
                                <w:spacing w:after="300"/>
                                <w:jc w:val="center"/>
                              </w:pPr>
                              <w:proofErr w:type="spellStart"/>
                              <w:proofErr w:type="gramStart"/>
                              <w:r w:rsidRPr="007A1593">
                                <w:rPr>
                                  <w:sz w:val="24"/>
                                </w:rPr>
                                <w:t>HIn</w:t>
                              </w:r>
                              <w:proofErr w:type="spellEnd"/>
                              <w:r w:rsidRPr="007A1593">
                                <w:rPr>
                                  <w:sz w:val="24"/>
                                  <w:vertAlign w:val="subscript"/>
                                </w:rPr>
                                <w:t>(</w:t>
                              </w:r>
                              <w:proofErr w:type="gramEnd"/>
                              <w:r w:rsidRPr="007A1593">
                                <w:rPr>
                                  <w:sz w:val="24"/>
                                  <w:vertAlign w:val="subscript"/>
                                </w:rPr>
                                <w:t>aq)</w:t>
                              </w:r>
                              <w:r w:rsidRPr="007A1593">
                                <w:rPr>
                                  <w:sz w:val="24"/>
                                </w:rPr>
                                <w:t xml:space="preserve">   </w:t>
                              </w:r>
                              <w:r w:rsidRPr="007A1593">
                                <w:rPr>
                                  <w:rFonts w:ascii="Cambria Math" w:hAnsi="Cambria Math" w:cs="Cambria Math"/>
                                  <w:sz w:val="24"/>
                                </w:rPr>
                                <w:t>⇄</w:t>
                              </w:r>
                              <w:r w:rsidRPr="007A1593">
                                <w:rPr>
                                  <w:sz w:val="24"/>
                                </w:rPr>
                                <w:t xml:space="preserve">   H</w:t>
                              </w:r>
                              <w:r w:rsidRPr="007A1593">
                                <w:rPr>
                                  <w:sz w:val="24"/>
                                  <w:vertAlign w:val="superscript"/>
                                </w:rPr>
                                <w:t>+</w:t>
                              </w:r>
                              <w:r w:rsidRPr="007A1593">
                                <w:rPr>
                                  <w:sz w:val="24"/>
                                  <w:vertAlign w:val="subscript"/>
                                </w:rPr>
                                <w:t>(aq)</w:t>
                              </w:r>
                              <w:r w:rsidRPr="007A1593">
                                <w:rPr>
                                  <w:sz w:val="24"/>
                                </w:rPr>
                                <w:t xml:space="preserve">   +   In</w:t>
                              </w:r>
                              <w:r w:rsidRPr="007A1593">
                                <w:rPr>
                                  <w:sz w:val="24"/>
                                  <w:vertAlign w:val="superscript"/>
                                </w:rPr>
                                <w:t>−</w:t>
                              </w:r>
                              <w:r w:rsidRPr="007A1593">
                                <w:rPr>
                                  <w:sz w:val="24"/>
                                  <w:vertAlign w:val="subscript"/>
                                </w:rPr>
                                <w:t>(aq)</w:t>
                              </w:r>
                            </w:p>
                            <w:p w:rsidR="00623831" w:rsidRPr="00623831" w:rsidRDefault="00623831" w:rsidP="00623831">
                              <w:pPr>
                                <w:jc w:val="center"/>
                                <w:rPr>
                                  <w:i/>
                                </w:rPr>
                              </w:pPr>
                              <w:r w:rsidRPr="00623831">
                                <w:rPr>
                                  <w:i/>
                                  <w:sz w:val="18"/>
                                </w:rPr>
                                <w:t>Different colours</w:t>
                              </w:r>
                            </w:p>
                          </w:txbxContent>
                        </wps:txbx>
                        <wps:bodyPr rot="0" vert="horz" wrap="square" lIns="91440" tIns="45720" rIns="91440" bIns="45720" anchor="t" anchorCtr="0">
                          <a:noAutofit/>
                        </wps:bodyPr>
                      </wps:wsp>
                      <wps:wsp>
                        <wps:cNvPr id="2" name="Straight Arrow Connector 2"/>
                        <wps:cNvCnPr/>
                        <wps:spPr>
                          <a:xfrm flipH="1" flipV="1">
                            <a:off x="629817" y="237930"/>
                            <a:ext cx="35877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Straight Arrow Connector 3"/>
                        <wps:cNvCnPr/>
                        <wps:spPr>
                          <a:xfrm flipV="1">
                            <a:off x="1184988" y="237930"/>
                            <a:ext cx="368300" cy="1993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5" o:spid="_x0000_s1026" style="position:absolute;margin-left:159.35pt;margin-top:88.2pt;width:175.55pt;height:47pt;z-index:251661312" coordsize="22294,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">
                <v:shapetype id="_x0000_t202" coordsize="21600,21600" o:spt="202" path="m,l,21600r21600,l21600,xe">
                  <v:stroke joinstyle="miter"/>
                  <v:path gradientshapeok="t" o:connecttype="rect"/>
                </v:shapetype>
                <v:shape id="Text Box 2" o:spid="_x0000_s1027" type="#_x0000_t202" style="position:absolute;width:22294;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623831" w:rsidRDefault="00623831" w:rsidP="00623831">
                        <w:pPr>
                          <w:spacing w:after="300"/>
                          <w:jc w:val="center"/>
                        </w:pPr>
                        <w:proofErr w:type="spellStart"/>
                        <w:proofErr w:type="gramStart"/>
                        <w:r w:rsidRPr="007A1593">
                          <w:rPr>
                            <w:sz w:val="24"/>
                          </w:rPr>
                          <w:t>HIn</w:t>
                        </w:r>
                        <w:proofErr w:type="spellEnd"/>
                        <w:r w:rsidRPr="007A1593">
                          <w:rPr>
                            <w:sz w:val="24"/>
                            <w:vertAlign w:val="subscript"/>
                          </w:rPr>
                          <w:t>(</w:t>
                        </w:r>
                        <w:proofErr w:type="gramEnd"/>
                        <w:r w:rsidRPr="007A1593">
                          <w:rPr>
                            <w:sz w:val="24"/>
                            <w:vertAlign w:val="subscript"/>
                          </w:rPr>
                          <w:t>aq)</w:t>
                        </w:r>
                        <w:r w:rsidRPr="007A1593">
                          <w:rPr>
                            <w:sz w:val="24"/>
                          </w:rPr>
                          <w:t xml:space="preserve">   </w:t>
                        </w:r>
                        <w:r w:rsidRPr="007A1593">
                          <w:rPr>
                            <w:rFonts w:ascii="Cambria Math" w:hAnsi="Cambria Math" w:cs="Cambria Math"/>
                            <w:sz w:val="24"/>
                          </w:rPr>
                          <w:t>⇄</w:t>
                        </w:r>
                        <w:r w:rsidRPr="007A1593">
                          <w:rPr>
                            <w:sz w:val="24"/>
                          </w:rPr>
                          <w:t xml:space="preserve">   H</w:t>
                        </w:r>
                        <w:r w:rsidRPr="007A1593">
                          <w:rPr>
                            <w:sz w:val="24"/>
                            <w:vertAlign w:val="superscript"/>
                          </w:rPr>
                          <w:t>+</w:t>
                        </w:r>
                        <w:r w:rsidRPr="007A1593">
                          <w:rPr>
                            <w:sz w:val="24"/>
                            <w:vertAlign w:val="subscript"/>
                          </w:rPr>
                          <w:t>(aq)</w:t>
                        </w:r>
                        <w:r w:rsidRPr="007A1593">
                          <w:rPr>
                            <w:sz w:val="24"/>
                          </w:rPr>
                          <w:t xml:space="preserve">   +   In</w:t>
                        </w:r>
                        <w:r w:rsidRPr="007A1593">
                          <w:rPr>
                            <w:sz w:val="24"/>
                            <w:vertAlign w:val="superscript"/>
                          </w:rPr>
                          <w:t>−</w:t>
                        </w:r>
                        <w:r w:rsidRPr="007A1593">
                          <w:rPr>
                            <w:sz w:val="24"/>
                            <w:vertAlign w:val="subscript"/>
                          </w:rPr>
                          <w:t>(aq)</w:t>
                        </w:r>
                      </w:p>
                      <w:p w:rsidR="00623831" w:rsidRPr="00623831" w:rsidRDefault="00623831" w:rsidP="00623831">
                        <w:pPr>
                          <w:jc w:val="center"/>
                          <w:rPr>
                            <w:i/>
                          </w:rPr>
                        </w:pPr>
                        <w:r w:rsidRPr="00623831">
                          <w:rPr>
                            <w:i/>
                            <w:sz w:val="18"/>
                          </w:rPr>
                          <w:t>Different colours</w:t>
                        </w:r>
                      </w:p>
                    </w:txbxContent>
                  </v:textbox>
                </v:shape>
                <v:shapetype id="_x0000_t32" coordsize="21600,21600" o:spt="32" o:oned="t" path="m,l21600,21600e" filled="f">
                  <v:path arrowok="t" fillok="f" o:connecttype="none"/>
                  <o:lock v:ext="edit" shapetype="t"/>
                </v:shapetype>
                <v:shape id="Straight Arrow Connector 2" o:spid="_x0000_s1028" type="#_x0000_t32" style="position:absolute;left:6298;top:2379;width:3587;height:20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" strokecolor="black [3200]" strokeweight=".5pt">
                  <v:stroke endarrow="block" joinstyle="miter"/>
                </v:shape>
                <v:shape id="Straight Arrow Connector 3" o:spid="_x0000_s1029" type="#_x0000_t32" style="position:absolute;left:11849;top:2379;width:3683;height:19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" strokecolor="black [3200]" strokeweight=".5pt">
                  <v:stroke endarrow="block" joinstyle="miter"/>
                </v:shape>
                <w10:wrap type="topAndBottom"/>
              </v:group>
            </w:pict>
          </mc:Fallback>
        </mc:AlternateContent>
      </w:r>
      <w:r w:rsidRPr="00623831">
        <w:rPr>
          <w:rFonts w:ascii="Arial" w:eastAsia="Times New Roman" w:hAnsi="Arial" w:cs="Arial"/>
          <w:sz w:val="24"/>
          <w:szCs w:val="24"/>
        </w:rPr>
        <w:t>An </w:t>
      </w:r>
      <w:r w:rsidRPr="00623831">
        <w:rPr>
          <w:rFonts w:ascii="Arial" w:eastAsia="Times New Roman" w:hAnsi="Arial" w:cs="Arial"/>
          <w:bCs/>
          <w:sz w:val="24"/>
          <w:szCs w:val="24"/>
        </w:rPr>
        <w:t>acid-</w:t>
      </w:r>
      <w:hyperlink r:id="rId4" w:tooltip="base" w:history="1">
        <w:r w:rsidRPr="00623831">
          <w:rPr>
            <w:rFonts w:ascii="Arial" w:eastAsia="Times New Roman" w:hAnsi="Arial" w:cs="Arial"/>
            <w:bCs/>
            <w:sz w:val="24"/>
            <w:szCs w:val="24"/>
          </w:rPr>
          <w:t>base</w:t>
        </w:r>
      </w:hyperlink>
      <w:r w:rsidRPr="00623831">
        <w:rPr>
          <w:rFonts w:ascii="Arial" w:eastAsia="Times New Roman" w:hAnsi="Arial" w:cs="Arial"/>
          <w:bCs/>
          <w:sz w:val="24"/>
          <w:szCs w:val="24"/>
        </w:rPr>
        <w:t> indicator</w:t>
      </w:r>
      <w:r w:rsidRPr="00623831">
        <w:rPr>
          <w:rFonts w:ascii="Arial" w:eastAsia="Times New Roman" w:hAnsi="Arial" w:cs="Arial"/>
          <w:sz w:val="24"/>
          <w:szCs w:val="24"/>
        </w:rPr>
        <w:t> is a substance that displays different colours when in the presence of an </w:t>
      </w:r>
      <w:hyperlink r:id="rId5" w:tooltip="acid" w:history="1">
        <w:r w:rsidRPr="00623831">
          <w:rPr>
            <w:rFonts w:ascii="Arial" w:eastAsia="Times New Roman" w:hAnsi="Arial" w:cs="Arial"/>
            <w:sz w:val="24"/>
            <w:szCs w:val="24"/>
          </w:rPr>
          <w:t>acid</w:t>
        </w:r>
      </w:hyperlink>
      <w:r w:rsidRPr="00623831">
        <w:rPr>
          <w:rFonts w:ascii="Arial" w:eastAsia="Times New Roman" w:hAnsi="Arial" w:cs="Arial"/>
          <w:sz w:val="24"/>
          <w:szCs w:val="24"/>
        </w:rPr>
        <w:t> or a </w:t>
      </w:r>
      <w:hyperlink r:id="rId6" w:tooltip="base" w:history="1">
        <w:r w:rsidRPr="00623831">
          <w:rPr>
            <w:rFonts w:ascii="Arial" w:eastAsia="Times New Roman" w:hAnsi="Arial" w:cs="Arial"/>
            <w:sz w:val="24"/>
            <w:szCs w:val="24"/>
          </w:rPr>
          <w:t>base</w:t>
        </w:r>
      </w:hyperlink>
      <w:r w:rsidRPr="00623831">
        <w:rPr>
          <w:rFonts w:ascii="Arial" w:eastAsia="Times New Roman" w:hAnsi="Arial" w:cs="Arial"/>
          <w:sz w:val="24"/>
          <w:szCs w:val="24"/>
        </w:rPr>
        <w:t xml:space="preserve">. </w:t>
      </w:r>
      <w:r>
        <w:rPr>
          <w:rFonts w:ascii="Arial" w:eastAsia="Times New Roman" w:hAnsi="Arial" w:cs="Arial"/>
          <w:sz w:val="24"/>
          <w:szCs w:val="24"/>
        </w:rPr>
        <w:t>Like all magic tricks</w:t>
      </w:r>
      <w:r w:rsidR="009927F7">
        <w:rPr>
          <w:rFonts w:ascii="Arial" w:eastAsia="Times New Roman" w:hAnsi="Arial" w:cs="Arial"/>
          <w:sz w:val="24"/>
          <w:szCs w:val="24"/>
        </w:rPr>
        <w:t>,</w:t>
      </w:r>
      <w:r>
        <w:rPr>
          <w:rFonts w:ascii="Arial" w:eastAsia="Times New Roman" w:hAnsi="Arial" w:cs="Arial"/>
          <w:sz w:val="24"/>
          <w:szCs w:val="24"/>
        </w:rPr>
        <w:t xml:space="preserve"> it has a simple explanation.</w:t>
      </w:r>
      <w:r w:rsidRPr="00623831">
        <w:rPr>
          <w:rFonts w:ascii="Arial" w:eastAsia="Times New Roman" w:hAnsi="Arial" w:cs="Arial"/>
          <w:sz w:val="24"/>
          <w:szCs w:val="24"/>
        </w:rPr>
        <w:t xml:space="preserve"> An indicator is a weak acid that ionizes within a known </w:t>
      </w:r>
      <w:hyperlink r:id="rId7" w:tooltip="pH" w:history="1">
        <w:r w:rsidRPr="00623831">
          <w:rPr>
            <w:rFonts w:ascii="Arial" w:eastAsia="Times New Roman" w:hAnsi="Arial" w:cs="Arial"/>
            <w:sz w:val="24"/>
            <w:szCs w:val="24"/>
          </w:rPr>
          <w:t>pH</w:t>
        </w:r>
      </w:hyperlink>
      <w:r w:rsidRPr="00623831">
        <w:rPr>
          <w:rFonts w:ascii="Arial" w:eastAsia="Times New Roman" w:hAnsi="Arial" w:cs="Arial"/>
          <w:sz w:val="24"/>
          <w:szCs w:val="24"/>
        </w:rPr>
        <w:t xml:space="preserve"> range, usually about 2 pH units. </w:t>
      </w:r>
      <w:r>
        <w:rPr>
          <w:rFonts w:ascii="Arial" w:eastAsia="Times New Roman" w:hAnsi="Arial" w:cs="Arial"/>
          <w:sz w:val="24"/>
          <w:szCs w:val="24"/>
        </w:rPr>
        <w:t xml:space="preserve">In the equation below the indicator is represented with the generic symbol In. The </w:t>
      </w:r>
      <w:proofErr w:type="spellStart"/>
      <w:r>
        <w:rPr>
          <w:rFonts w:ascii="Arial" w:eastAsia="Times New Roman" w:hAnsi="Arial" w:cs="Arial"/>
          <w:sz w:val="24"/>
          <w:szCs w:val="24"/>
        </w:rPr>
        <w:t>bronsted</w:t>
      </w:r>
      <w:proofErr w:type="spellEnd"/>
      <w:r>
        <w:rPr>
          <w:rFonts w:ascii="Arial" w:eastAsia="Times New Roman" w:hAnsi="Arial" w:cs="Arial"/>
          <w:sz w:val="24"/>
          <w:szCs w:val="24"/>
        </w:rPr>
        <w:t xml:space="preserve">-Lowry acid form of the indicator (the </w:t>
      </w:r>
      <w:r w:rsidRPr="00623831">
        <w:rPr>
          <w:rFonts w:ascii="Arial" w:eastAsia="Times New Roman" w:hAnsi="Arial" w:cs="Arial"/>
          <w:sz w:val="24"/>
          <w:szCs w:val="24"/>
        </w:rPr>
        <w:t>protonated form of the indicator molecule</w:t>
      </w:r>
      <w:r>
        <w:rPr>
          <w:rFonts w:ascii="Arial" w:eastAsia="Times New Roman" w:hAnsi="Arial" w:cs="Arial"/>
          <w:sz w:val="24"/>
          <w:szCs w:val="24"/>
        </w:rPr>
        <w:t>) is shown as</w:t>
      </w:r>
      <w:r w:rsidRPr="00623831">
        <w:rPr>
          <w:rFonts w:ascii="Arial" w:eastAsia="Times New Roman" w:hAnsi="Arial" w:cs="Arial"/>
          <w:sz w:val="24"/>
          <w:szCs w:val="24"/>
        </w:rPr>
        <w:t xml:space="preserve"> </w:t>
      </w:r>
      <w:proofErr w:type="spellStart"/>
      <w:r w:rsidRPr="00623831">
        <w:rPr>
          <w:rFonts w:ascii="Arial" w:eastAsia="Times New Roman" w:hAnsi="Arial" w:cs="Arial"/>
          <w:sz w:val="24"/>
          <w:szCs w:val="24"/>
        </w:rPr>
        <w:t>HIn</w:t>
      </w:r>
      <w:proofErr w:type="spellEnd"/>
      <w:r w:rsidRPr="00623831">
        <w:rPr>
          <w:rFonts w:ascii="Arial" w:eastAsia="Times New Roman" w:hAnsi="Arial" w:cs="Arial"/>
          <w:sz w:val="24"/>
          <w:szCs w:val="24"/>
        </w:rPr>
        <w:t xml:space="preserve"> and </w:t>
      </w:r>
      <w:r>
        <w:rPr>
          <w:rFonts w:ascii="Arial" w:eastAsia="Times New Roman" w:hAnsi="Arial" w:cs="Arial"/>
          <w:sz w:val="24"/>
          <w:szCs w:val="24"/>
        </w:rPr>
        <w:t>the conjugate base of the indicator is shown</w:t>
      </w:r>
      <w:r w:rsidRPr="00623831">
        <w:rPr>
          <w:rFonts w:ascii="Arial" w:eastAsia="Times New Roman" w:hAnsi="Arial" w:cs="Arial"/>
          <w:sz w:val="24"/>
          <w:szCs w:val="24"/>
        </w:rPr>
        <w:t xml:space="preserve"> as In</w:t>
      </w:r>
      <w:r w:rsidRPr="00623831">
        <w:rPr>
          <w:rFonts w:ascii="Arial" w:eastAsia="Times New Roman" w:hAnsi="Arial" w:cs="Arial"/>
          <w:sz w:val="24"/>
          <w:szCs w:val="24"/>
          <w:vertAlign w:val="superscript"/>
        </w:rPr>
        <w:t>−</w:t>
      </w:r>
      <w:r w:rsidRPr="00623831">
        <w:rPr>
          <w:rFonts w:ascii="Arial" w:eastAsia="Times New Roman" w:hAnsi="Arial" w:cs="Arial"/>
          <w:sz w:val="24"/>
          <w:szCs w:val="24"/>
        </w:rPr>
        <w:t>. The following equilibrium exists for the indicator.</w:t>
      </w:r>
    </w:p>
    <w:p w:rsidR="00623831" w:rsidRPr="00623831" w:rsidRDefault="007076A2" w:rsidP="00623831">
      <w:pPr>
        <w:shd w:val="clear" w:color="auto" w:fill="FFFFFF"/>
        <w:spacing w:after="300" w:line="240" w:lineRule="auto"/>
        <w:rPr>
          <w:rFonts w:ascii="Arial" w:eastAsia="Times New Roman" w:hAnsi="Arial" w:cs="Arial"/>
          <w:sz w:val="24"/>
          <w:szCs w:val="24"/>
        </w:rPr>
      </w:pPr>
      <w:r w:rsidRPr="00623831">
        <w:rPr>
          <w:rFonts w:ascii="Arial" w:eastAsia="Times New Roman" w:hAnsi="Arial" w:cs="Arial"/>
          <w:noProof/>
          <w:sz w:val="24"/>
          <w:szCs w:val="24"/>
        </w:rPr>
        <w:drawing>
          <wp:anchor distT="0" distB="0" distL="114300" distR="114300" simplePos="0" relativeHeight="251662336" behindDoc="0" locked="0" layoutInCell="1" allowOverlap="1">
            <wp:simplePos x="0" y="0"/>
            <wp:positionH relativeFrom="column">
              <wp:posOffset>488950</wp:posOffset>
            </wp:positionH>
            <wp:positionV relativeFrom="paragraph">
              <wp:posOffset>2250440</wp:posOffset>
            </wp:positionV>
            <wp:extent cx="5350510" cy="2896870"/>
            <wp:effectExtent l="0" t="0" r="2540" b="0"/>
            <wp:wrapTopAndBottom/>
            <wp:docPr id="1" name="Picture 1" descr="Many indicators can be used for acid-base experi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OTgwNDUtMTM2NDk5MTEyMy0xMy04Ni01LjUuNS4yNC4x" descr="Many indicators can be used for acid-base experiments"/>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350510" cy="289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3831" w:rsidRPr="00623831">
        <w:rPr>
          <w:rFonts w:ascii="Arial" w:eastAsia="Times New Roman" w:hAnsi="Arial" w:cs="Arial"/>
          <w:sz w:val="24"/>
          <w:szCs w:val="24"/>
        </w:rPr>
        <w:t xml:space="preserve">According to </w:t>
      </w:r>
      <w:proofErr w:type="spellStart"/>
      <w:r w:rsidR="00623831" w:rsidRPr="00623831">
        <w:rPr>
          <w:rFonts w:ascii="Arial" w:eastAsia="Times New Roman" w:hAnsi="Arial" w:cs="Arial"/>
          <w:sz w:val="24"/>
          <w:szCs w:val="24"/>
        </w:rPr>
        <w:t>LeChâtelier’s</w:t>
      </w:r>
      <w:proofErr w:type="spellEnd"/>
      <w:r w:rsidR="00623831" w:rsidRPr="00623831">
        <w:rPr>
          <w:rFonts w:ascii="Arial" w:eastAsia="Times New Roman" w:hAnsi="Arial" w:cs="Arial"/>
          <w:sz w:val="24"/>
          <w:szCs w:val="24"/>
        </w:rPr>
        <w:t xml:space="preserve"> principle, the addition of H</w:t>
      </w:r>
      <w:r w:rsidR="00623831" w:rsidRPr="00623831">
        <w:rPr>
          <w:rFonts w:ascii="Arial" w:eastAsia="Times New Roman" w:hAnsi="Arial" w:cs="Arial"/>
          <w:sz w:val="24"/>
          <w:szCs w:val="24"/>
          <w:vertAlign w:val="superscript"/>
        </w:rPr>
        <w:t>+</w:t>
      </w:r>
      <w:r w:rsidR="00623831" w:rsidRPr="00623831">
        <w:rPr>
          <w:rFonts w:ascii="Arial" w:eastAsia="Times New Roman" w:hAnsi="Arial" w:cs="Arial"/>
          <w:sz w:val="24"/>
          <w:szCs w:val="24"/>
        </w:rPr>
        <w:t> ions (</w:t>
      </w:r>
      <w:r w:rsidR="00623831">
        <w:rPr>
          <w:rFonts w:ascii="Arial" w:eastAsia="Times New Roman" w:hAnsi="Arial" w:cs="Arial"/>
          <w:sz w:val="24"/>
          <w:szCs w:val="24"/>
        </w:rPr>
        <w:t xml:space="preserve">as in adding an acid and creating a </w:t>
      </w:r>
      <w:r w:rsidR="00623831" w:rsidRPr="00623831">
        <w:rPr>
          <w:rFonts w:ascii="Arial" w:eastAsia="Times New Roman" w:hAnsi="Arial" w:cs="Arial"/>
          <w:sz w:val="24"/>
          <w:szCs w:val="24"/>
        </w:rPr>
        <w:t>low </w:t>
      </w:r>
      <w:hyperlink r:id="rId10" w:tooltip="pH" w:history="1">
        <w:r w:rsidR="00623831" w:rsidRPr="00623831">
          <w:rPr>
            <w:rFonts w:ascii="Arial" w:eastAsia="Times New Roman" w:hAnsi="Arial" w:cs="Arial"/>
            <w:sz w:val="24"/>
            <w:szCs w:val="24"/>
          </w:rPr>
          <w:t>pH</w:t>
        </w:r>
      </w:hyperlink>
      <w:r w:rsidR="00623831" w:rsidRPr="00623831">
        <w:rPr>
          <w:rFonts w:ascii="Arial" w:eastAsia="Times New Roman" w:hAnsi="Arial" w:cs="Arial"/>
          <w:sz w:val="24"/>
          <w:szCs w:val="24"/>
        </w:rPr>
        <w:t xml:space="preserve"> solution) drives the equilibrium to the left and the protonated </w:t>
      </w:r>
      <w:proofErr w:type="spellStart"/>
      <w:r w:rsidR="00623831" w:rsidRPr="00623831">
        <w:rPr>
          <w:rFonts w:ascii="Arial" w:eastAsia="Times New Roman" w:hAnsi="Arial" w:cs="Arial"/>
          <w:sz w:val="24"/>
          <w:szCs w:val="24"/>
        </w:rPr>
        <w:t>HIn</w:t>
      </w:r>
      <w:proofErr w:type="spellEnd"/>
      <w:r w:rsidR="00623831" w:rsidRPr="00623831">
        <w:rPr>
          <w:rFonts w:ascii="Arial" w:eastAsia="Times New Roman" w:hAnsi="Arial" w:cs="Arial"/>
          <w:sz w:val="24"/>
          <w:szCs w:val="24"/>
        </w:rPr>
        <w:t xml:space="preserve"> predominates. The addition of </w:t>
      </w:r>
      <w:r w:rsidR="00623831">
        <w:rPr>
          <w:rFonts w:ascii="Arial" w:eastAsia="Times New Roman" w:hAnsi="Arial" w:cs="Arial"/>
          <w:sz w:val="24"/>
          <w:szCs w:val="24"/>
        </w:rPr>
        <w:t xml:space="preserve">a base </w:t>
      </w:r>
      <w:r w:rsidR="00623831" w:rsidRPr="00623831">
        <w:rPr>
          <w:rFonts w:ascii="Arial" w:eastAsia="Times New Roman" w:hAnsi="Arial" w:cs="Arial"/>
          <w:sz w:val="24"/>
          <w:szCs w:val="24"/>
        </w:rPr>
        <w:t>(as in a high </w:t>
      </w:r>
      <w:hyperlink r:id="rId11" w:tooltip="pH" w:history="1">
        <w:r w:rsidR="00623831" w:rsidRPr="00623831">
          <w:rPr>
            <w:rFonts w:ascii="Arial" w:eastAsia="Times New Roman" w:hAnsi="Arial" w:cs="Arial"/>
            <w:sz w:val="24"/>
            <w:szCs w:val="24"/>
          </w:rPr>
          <w:t>pH</w:t>
        </w:r>
      </w:hyperlink>
      <w:r w:rsidR="00623831" w:rsidRPr="00623831">
        <w:rPr>
          <w:rFonts w:ascii="Arial" w:eastAsia="Times New Roman" w:hAnsi="Arial" w:cs="Arial"/>
          <w:sz w:val="24"/>
          <w:szCs w:val="24"/>
        </w:rPr>
        <w:t> solution) decreases the H</w:t>
      </w:r>
      <w:r w:rsidR="00623831" w:rsidRPr="00623831">
        <w:rPr>
          <w:rFonts w:ascii="Arial" w:eastAsia="Times New Roman" w:hAnsi="Arial" w:cs="Arial"/>
          <w:sz w:val="24"/>
          <w:szCs w:val="24"/>
          <w:vertAlign w:val="superscript"/>
        </w:rPr>
        <w:t>+</w:t>
      </w:r>
      <w:r w:rsidR="00623831" w:rsidRPr="00623831">
        <w:rPr>
          <w:rFonts w:ascii="Arial" w:eastAsia="Times New Roman" w:hAnsi="Arial" w:cs="Arial"/>
          <w:sz w:val="24"/>
          <w:szCs w:val="24"/>
        </w:rPr>
        <w:t> </w:t>
      </w:r>
      <w:hyperlink r:id="rId12" w:tooltip="concentration" w:history="1">
        <w:r w:rsidR="00623831" w:rsidRPr="00623831">
          <w:rPr>
            <w:rFonts w:ascii="Arial" w:eastAsia="Times New Roman" w:hAnsi="Arial" w:cs="Arial"/>
            <w:sz w:val="24"/>
            <w:szCs w:val="24"/>
          </w:rPr>
          <w:t>concentration</w:t>
        </w:r>
      </w:hyperlink>
      <w:r w:rsidR="00623831" w:rsidRPr="00623831">
        <w:rPr>
          <w:rFonts w:ascii="Arial" w:eastAsia="Times New Roman" w:hAnsi="Arial" w:cs="Arial"/>
          <w:sz w:val="24"/>
          <w:szCs w:val="24"/>
        </w:rPr>
        <w:t> and drives the equilibrium to the right and the deprotonated In</w:t>
      </w:r>
      <w:r w:rsidR="00623831" w:rsidRPr="00623831">
        <w:rPr>
          <w:rFonts w:ascii="Arial" w:eastAsia="Times New Roman" w:hAnsi="Arial" w:cs="Arial"/>
          <w:sz w:val="24"/>
          <w:szCs w:val="24"/>
          <w:vertAlign w:val="superscript"/>
        </w:rPr>
        <w:t>−</w:t>
      </w:r>
      <w:r w:rsidR="00623831" w:rsidRPr="00623831">
        <w:rPr>
          <w:rFonts w:ascii="Arial" w:eastAsia="Times New Roman" w:hAnsi="Arial" w:cs="Arial"/>
          <w:sz w:val="24"/>
          <w:szCs w:val="24"/>
        </w:rPr>
        <w:t xml:space="preserve"> predominates. </w:t>
      </w:r>
      <w:r w:rsidR="00623831">
        <w:rPr>
          <w:rFonts w:ascii="Arial" w:eastAsia="Times New Roman" w:hAnsi="Arial" w:cs="Arial"/>
          <w:sz w:val="24"/>
          <w:szCs w:val="24"/>
        </w:rPr>
        <w:t xml:space="preserve">Because </w:t>
      </w:r>
      <w:proofErr w:type="spellStart"/>
      <w:r w:rsidR="00623831">
        <w:rPr>
          <w:rFonts w:ascii="Arial" w:eastAsia="Times New Roman" w:hAnsi="Arial" w:cs="Arial"/>
          <w:sz w:val="24"/>
          <w:szCs w:val="24"/>
        </w:rPr>
        <w:t>HIn</w:t>
      </w:r>
      <w:proofErr w:type="spellEnd"/>
      <w:r w:rsidR="00623831">
        <w:rPr>
          <w:rFonts w:ascii="Arial" w:eastAsia="Times New Roman" w:hAnsi="Arial" w:cs="Arial"/>
          <w:sz w:val="24"/>
          <w:szCs w:val="24"/>
        </w:rPr>
        <w:t xml:space="preserve"> and IN</w:t>
      </w:r>
      <w:r w:rsidR="00623831">
        <w:rPr>
          <w:rFonts w:ascii="Arial" w:eastAsia="Times New Roman" w:hAnsi="Arial" w:cs="Arial"/>
          <w:sz w:val="24"/>
          <w:szCs w:val="24"/>
          <w:vertAlign w:val="superscript"/>
        </w:rPr>
        <w:t>-</w:t>
      </w:r>
      <w:r w:rsidR="00623831">
        <w:rPr>
          <w:rFonts w:ascii="Arial" w:eastAsia="Times New Roman" w:hAnsi="Arial" w:cs="Arial"/>
          <w:sz w:val="24"/>
          <w:szCs w:val="24"/>
        </w:rPr>
        <w:t xml:space="preserve"> are different colours, there is a colour change in the solution when it turns from acidic (high H</w:t>
      </w:r>
      <w:r w:rsidR="00623831">
        <w:rPr>
          <w:rFonts w:ascii="Arial" w:eastAsia="Times New Roman" w:hAnsi="Arial" w:cs="Arial"/>
          <w:sz w:val="24"/>
          <w:szCs w:val="24"/>
          <w:vertAlign w:val="superscript"/>
        </w:rPr>
        <w:t>+</w:t>
      </w:r>
      <w:r w:rsidR="00623831">
        <w:rPr>
          <w:rFonts w:ascii="Arial" w:eastAsia="Times New Roman" w:hAnsi="Arial" w:cs="Arial"/>
          <w:sz w:val="24"/>
          <w:szCs w:val="24"/>
        </w:rPr>
        <w:t xml:space="preserve">) to </w:t>
      </w:r>
      <w:r>
        <w:rPr>
          <w:rFonts w:ascii="Arial" w:eastAsia="Times New Roman" w:hAnsi="Arial" w:cs="Arial"/>
          <w:sz w:val="24"/>
          <w:szCs w:val="24"/>
        </w:rPr>
        <w:t>basic (</w:t>
      </w:r>
      <w:r w:rsidR="00623831">
        <w:rPr>
          <w:rFonts w:ascii="Arial" w:eastAsia="Times New Roman" w:hAnsi="Arial" w:cs="Arial"/>
          <w:sz w:val="24"/>
          <w:szCs w:val="24"/>
        </w:rPr>
        <w:t>low H</w:t>
      </w:r>
      <w:r w:rsidR="00623831">
        <w:rPr>
          <w:rFonts w:ascii="Arial" w:eastAsia="Times New Roman" w:hAnsi="Arial" w:cs="Arial"/>
          <w:sz w:val="24"/>
          <w:szCs w:val="24"/>
          <w:vertAlign w:val="superscript"/>
        </w:rPr>
        <w:t>+</w:t>
      </w:r>
      <w:r w:rsidR="00623831">
        <w:rPr>
          <w:rFonts w:ascii="Arial" w:eastAsia="Times New Roman" w:hAnsi="Arial" w:cs="Arial"/>
          <w:sz w:val="24"/>
          <w:szCs w:val="24"/>
        </w:rPr>
        <w:t>)</w:t>
      </w:r>
      <w:r w:rsidR="00623831" w:rsidRPr="00623831">
        <w:rPr>
          <w:rFonts w:ascii="Arial" w:eastAsia="Times New Roman" w:hAnsi="Arial" w:cs="Arial"/>
          <w:sz w:val="24"/>
          <w:szCs w:val="24"/>
        </w:rPr>
        <w:t>. In the case of phenolphthalein, the protonated form is colourless, while the deprotonated form is pink. </w:t>
      </w:r>
      <w:r w:rsidR="00623831" w:rsidRPr="00623831">
        <w:rPr>
          <w:rFonts w:ascii="Arial" w:eastAsia="Times New Roman" w:hAnsi="Arial" w:cs="Arial"/>
          <w:bCs/>
          <w:sz w:val="24"/>
          <w:szCs w:val="24"/>
        </w:rPr>
        <w:t>Figure</w:t>
      </w:r>
      <w:r w:rsidR="00623831" w:rsidRPr="00623831">
        <w:rPr>
          <w:rFonts w:ascii="Arial" w:eastAsia="Times New Roman" w:hAnsi="Arial" w:cs="Arial"/>
          <w:sz w:val="24"/>
          <w:szCs w:val="24"/>
        </w:rPr>
        <w:t> </w:t>
      </w:r>
      <w:hyperlink r:id="rId13" w:anchor="x-ck12-OTgwNDUtMTM2NDk5MTEyMy0xMy04Ni01LjUuNS4yNC4x" w:history="1">
        <w:r w:rsidR="00623831" w:rsidRPr="00623831">
          <w:rPr>
            <w:rFonts w:ascii="Arial" w:eastAsia="Times New Roman" w:hAnsi="Arial" w:cs="Arial"/>
            <w:sz w:val="24"/>
            <w:szCs w:val="24"/>
          </w:rPr>
          <w:t>below</w:t>
        </w:r>
      </w:hyperlink>
      <w:r w:rsidR="00623831" w:rsidRPr="00623831">
        <w:rPr>
          <w:rFonts w:ascii="Arial" w:eastAsia="Times New Roman" w:hAnsi="Arial" w:cs="Arial"/>
          <w:sz w:val="24"/>
          <w:szCs w:val="24"/>
        </w:rPr>
        <w:t> shows a variety of acid-base indicators that can be used in titration experiments.</w:t>
      </w:r>
      <w:r>
        <w:rPr>
          <w:rFonts w:ascii="Arial" w:eastAsia="Times New Roman" w:hAnsi="Arial" w:cs="Arial"/>
          <w:sz w:val="24"/>
          <w:szCs w:val="24"/>
        </w:rPr>
        <w:t xml:space="preserve"> Note that each indicator has a pH range in which the colour change occurs. </w:t>
      </w:r>
    </w:p>
    <w:p w:rsidR="007076A2" w:rsidRDefault="007076A2" w:rsidP="00623831">
      <w:pPr>
        <w:shd w:val="clear" w:color="auto" w:fill="FFFFFF"/>
        <w:spacing w:after="300" w:line="240" w:lineRule="auto"/>
        <w:rPr>
          <w:rFonts w:ascii="Arial" w:eastAsia="Times New Roman" w:hAnsi="Arial" w:cs="Arial"/>
          <w:sz w:val="24"/>
          <w:szCs w:val="24"/>
        </w:rPr>
      </w:pPr>
    </w:p>
    <w:p w:rsidR="007076A2" w:rsidRDefault="007076A2" w:rsidP="00623831">
      <w:pPr>
        <w:shd w:val="clear" w:color="auto" w:fill="FFFFFF"/>
        <w:spacing w:after="300" w:line="240" w:lineRule="auto"/>
        <w:rPr>
          <w:rFonts w:ascii="Arial" w:eastAsia="Times New Roman" w:hAnsi="Arial" w:cs="Arial"/>
          <w:sz w:val="24"/>
          <w:szCs w:val="24"/>
        </w:rPr>
      </w:pPr>
      <w:r>
        <w:rPr>
          <w:rFonts w:ascii="Arial" w:eastAsia="Times New Roman" w:hAnsi="Arial" w:cs="Arial"/>
          <w:sz w:val="24"/>
          <w:szCs w:val="24"/>
        </w:rPr>
        <w:t xml:space="preserve">Indicators are therefore an easy way to observe when a solution turns from acidic to basic, and indicators are used in titrations for the sole reason they are easier to use than pH meters. However because indicators changes colour at different pH ranges, choosing the correct indicator for a titration can be a little tricky. </w:t>
      </w:r>
    </w:p>
    <w:p w:rsidR="00623831" w:rsidRPr="00623831" w:rsidRDefault="007076A2" w:rsidP="00623831">
      <w:pPr>
        <w:shd w:val="clear" w:color="auto" w:fill="FFFFFF"/>
        <w:spacing w:after="300" w:line="240" w:lineRule="auto"/>
        <w:rPr>
          <w:rFonts w:ascii="Arial" w:eastAsia="Times New Roman" w:hAnsi="Arial" w:cs="Arial"/>
          <w:sz w:val="24"/>
          <w:szCs w:val="24"/>
        </w:rPr>
      </w:pPr>
      <w:r>
        <w:rPr>
          <w:rFonts w:ascii="Arial" w:eastAsia="Times New Roman" w:hAnsi="Arial" w:cs="Arial"/>
          <w:sz w:val="24"/>
          <w:szCs w:val="24"/>
        </w:rPr>
        <w:t xml:space="preserve">The decision of which indicator to use depends on where the equivalence point for the titration will be. </w:t>
      </w:r>
      <w:r w:rsidR="00623831" w:rsidRPr="00623831">
        <w:rPr>
          <w:rFonts w:ascii="Arial" w:eastAsia="Times New Roman" w:hAnsi="Arial" w:cs="Arial"/>
          <w:sz w:val="24"/>
          <w:szCs w:val="24"/>
        </w:rPr>
        <w:t xml:space="preserve">For example, </w:t>
      </w:r>
      <w:proofErr w:type="spellStart"/>
      <w:r w:rsidR="00623831" w:rsidRPr="00623831">
        <w:rPr>
          <w:rFonts w:ascii="Arial" w:eastAsia="Times New Roman" w:hAnsi="Arial" w:cs="Arial"/>
          <w:sz w:val="24"/>
          <w:szCs w:val="24"/>
        </w:rPr>
        <w:t>bromphenol</w:t>
      </w:r>
      <w:proofErr w:type="spellEnd"/>
      <w:r w:rsidR="00623831" w:rsidRPr="00623831">
        <w:rPr>
          <w:rFonts w:ascii="Arial" w:eastAsia="Times New Roman" w:hAnsi="Arial" w:cs="Arial"/>
          <w:sz w:val="24"/>
          <w:szCs w:val="24"/>
        </w:rPr>
        <w:t xml:space="preserve"> blue has a yellow </w:t>
      </w:r>
      <w:hyperlink r:id="rId14" w:tooltip="color" w:history="1">
        <w:r w:rsidR="00623831" w:rsidRPr="00623831">
          <w:rPr>
            <w:rFonts w:ascii="Arial" w:eastAsia="Times New Roman" w:hAnsi="Arial" w:cs="Arial"/>
            <w:sz w:val="24"/>
            <w:szCs w:val="24"/>
          </w:rPr>
          <w:t>colour</w:t>
        </w:r>
      </w:hyperlink>
      <w:r w:rsidR="00623831" w:rsidRPr="00623831">
        <w:rPr>
          <w:rFonts w:ascii="Arial" w:eastAsia="Times New Roman" w:hAnsi="Arial" w:cs="Arial"/>
          <w:sz w:val="24"/>
          <w:szCs w:val="24"/>
        </w:rPr>
        <w:t xml:space="preserve"> below a pH of about </w:t>
      </w:r>
      <w:proofErr w:type="gramStart"/>
      <w:r w:rsidR="00623831" w:rsidRPr="00623831">
        <w:rPr>
          <w:rFonts w:ascii="Arial" w:eastAsia="Times New Roman" w:hAnsi="Arial" w:cs="Arial"/>
          <w:sz w:val="24"/>
          <w:szCs w:val="24"/>
        </w:rPr>
        <w:t>3</w:t>
      </w:r>
      <w:proofErr w:type="gramEnd"/>
      <w:r w:rsidR="00623831" w:rsidRPr="00623831">
        <w:rPr>
          <w:rFonts w:ascii="Arial" w:eastAsia="Times New Roman" w:hAnsi="Arial" w:cs="Arial"/>
          <w:sz w:val="24"/>
          <w:szCs w:val="24"/>
        </w:rPr>
        <w:t xml:space="preserve"> and a blue-violet colour above a pH of about 4. </w:t>
      </w:r>
      <w:r>
        <w:rPr>
          <w:rFonts w:ascii="Arial" w:eastAsia="Times New Roman" w:hAnsi="Arial" w:cs="Arial"/>
          <w:sz w:val="24"/>
          <w:szCs w:val="24"/>
        </w:rPr>
        <w:t xml:space="preserve">Therefore, </w:t>
      </w:r>
      <w:proofErr w:type="spellStart"/>
      <w:r w:rsidR="00623831" w:rsidRPr="00623831">
        <w:rPr>
          <w:rFonts w:ascii="Arial" w:eastAsia="Times New Roman" w:hAnsi="Arial" w:cs="Arial"/>
          <w:sz w:val="24"/>
          <w:szCs w:val="24"/>
        </w:rPr>
        <w:t>Bromphenol</w:t>
      </w:r>
      <w:proofErr w:type="spellEnd"/>
      <w:r w:rsidR="00623831" w:rsidRPr="00623831">
        <w:rPr>
          <w:rFonts w:ascii="Arial" w:eastAsia="Times New Roman" w:hAnsi="Arial" w:cs="Arial"/>
          <w:sz w:val="24"/>
          <w:szCs w:val="24"/>
        </w:rPr>
        <w:t xml:space="preserve"> blue would not be a good choice as the indicator for a strong acid-strong base titration, </w:t>
      </w:r>
      <w:r>
        <w:rPr>
          <w:rFonts w:ascii="Arial" w:eastAsia="Times New Roman" w:hAnsi="Arial" w:cs="Arial"/>
          <w:sz w:val="24"/>
          <w:szCs w:val="24"/>
        </w:rPr>
        <w:t>which has a</w:t>
      </w:r>
      <w:r w:rsidR="00623831" w:rsidRPr="00623831">
        <w:rPr>
          <w:rFonts w:ascii="Arial" w:eastAsia="Times New Roman" w:hAnsi="Arial" w:cs="Arial"/>
          <w:sz w:val="24"/>
          <w:szCs w:val="24"/>
        </w:rPr>
        <w:t xml:space="preserve"> pH </w:t>
      </w:r>
      <w:r>
        <w:rPr>
          <w:rFonts w:ascii="Arial" w:eastAsia="Times New Roman" w:hAnsi="Arial" w:cs="Arial"/>
          <w:sz w:val="24"/>
          <w:szCs w:val="24"/>
        </w:rPr>
        <w:t>of</w:t>
      </w:r>
      <w:r w:rsidR="00623831" w:rsidRPr="00623831">
        <w:rPr>
          <w:rFonts w:ascii="Arial" w:eastAsia="Times New Roman" w:hAnsi="Arial" w:cs="Arial"/>
          <w:sz w:val="24"/>
          <w:szCs w:val="24"/>
        </w:rPr>
        <w:t xml:space="preserve"> </w:t>
      </w:r>
      <w:proofErr w:type="gramStart"/>
      <w:r w:rsidR="00623831" w:rsidRPr="00623831">
        <w:rPr>
          <w:rFonts w:ascii="Arial" w:eastAsia="Times New Roman" w:hAnsi="Arial" w:cs="Arial"/>
          <w:sz w:val="24"/>
          <w:szCs w:val="24"/>
        </w:rPr>
        <w:t>7</w:t>
      </w:r>
      <w:proofErr w:type="gramEnd"/>
      <w:r w:rsidR="00623831" w:rsidRPr="00623831">
        <w:rPr>
          <w:rFonts w:ascii="Arial" w:eastAsia="Times New Roman" w:hAnsi="Arial" w:cs="Arial"/>
          <w:sz w:val="24"/>
          <w:szCs w:val="24"/>
        </w:rPr>
        <w:t xml:space="preserve"> at the equivalence point. Instead, it could be used for a strong acid-weak base titration, where the pH at the equivalence point is lower.</w:t>
      </w:r>
    </w:p>
    <w:p w:rsidR="00623831" w:rsidRPr="00623831" w:rsidRDefault="00623831" w:rsidP="00623831">
      <w:pPr>
        <w:shd w:val="clear" w:color="auto" w:fill="FFFFFF"/>
        <w:spacing w:after="300" w:line="240" w:lineRule="auto"/>
        <w:rPr>
          <w:rFonts w:ascii="Arial" w:eastAsia="Times New Roman" w:hAnsi="Arial" w:cs="Arial"/>
          <w:sz w:val="24"/>
          <w:szCs w:val="24"/>
        </w:rPr>
      </w:pPr>
      <w:r w:rsidRPr="00623831">
        <w:rPr>
          <w:rFonts w:ascii="Arial" w:eastAsia="Times New Roman" w:hAnsi="Arial" w:cs="Arial"/>
          <w:sz w:val="24"/>
          <w:szCs w:val="24"/>
        </w:rPr>
        <w:t>Most indicators have two coloured forms</w:t>
      </w:r>
      <w:r w:rsidR="007076A2">
        <w:rPr>
          <w:rFonts w:ascii="Arial" w:eastAsia="Times New Roman" w:hAnsi="Arial" w:cs="Arial"/>
          <w:sz w:val="24"/>
          <w:szCs w:val="24"/>
        </w:rPr>
        <w:t>, which is useful for titrations</w:t>
      </w:r>
      <w:r w:rsidRPr="00623831">
        <w:rPr>
          <w:rFonts w:ascii="Arial" w:eastAsia="Times New Roman" w:hAnsi="Arial" w:cs="Arial"/>
          <w:sz w:val="24"/>
          <w:szCs w:val="24"/>
        </w:rPr>
        <w:t>.</w:t>
      </w:r>
      <w:r w:rsidR="007076A2">
        <w:rPr>
          <w:rFonts w:ascii="Arial" w:eastAsia="Times New Roman" w:hAnsi="Arial" w:cs="Arial"/>
          <w:sz w:val="24"/>
          <w:szCs w:val="24"/>
        </w:rPr>
        <w:t xml:space="preserve"> </w:t>
      </w:r>
      <w:r w:rsidRPr="00623831">
        <w:rPr>
          <w:rFonts w:ascii="Arial" w:eastAsia="Times New Roman" w:hAnsi="Arial" w:cs="Arial"/>
          <w:sz w:val="24"/>
          <w:szCs w:val="24"/>
        </w:rPr>
        <w:t xml:space="preserve">Universal indicator displays the entire rainbow of colours from low pH to high </w:t>
      </w:r>
      <w:proofErr w:type="spellStart"/>
      <w:r w:rsidRPr="00623831">
        <w:rPr>
          <w:rFonts w:ascii="Arial" w:eastAsia="Times New Roman" w:hAnsi="Arial" w:cs="Arial"/>
          <w:sz w:val="24"/>
          <w:szCs w:val="24"/>
        </w:rPr>
        <w:t>pH.</w:t>
      </w:r>
      <w:proofErr w:type="spellEnd"/>
      <w:r w:rsidRPr="00623831">
        <w:rPr>
          <w:rFonts w:ascii="Arial" w:eastAsia="Times New Roman" w:hAnsi="Arial" w:cs="Arial"/>
          <w:sz w:val="24"/>
          <w:szCs w:val="24"/>
        </w:rPr>
        <w:t xml:space="preserve"> </w:t>
      </w:r>
      <w:r w:rsidR="007A1593">
        <w:rPr>
          <w:rFonts w:ascii="Arial" w:eastAsia="Times New Roman" w:hAnsi="Arial" w:cs="Arial"/>
          <w:sz w:val="24"/>
          <w:szCs w:val="24"/>
        </w:rPr>
        <w:t xml:space="preserve">This is another magic trick as </w:t>
      </w:r>
      <w:r w:rsidR="007A1593">
        <w:rPr>
          <w:rFonts w:ascii="Arial" w:eastAsia="Times New Roman" w:hAnsi="Arial" w:cs="Arial"/>
          <w:sz w:val="24"/>
          <w:szCs w:val="24"/>
        </w:rPr>
        <w:lastRenderedPageBreak/>
        <w:t xml:space="preserve">Universal indicator is a mixture of different indicators carefully chosen to shown a range of colour changes at different </w:t>
      </w:r>
      <w:proofErr w:type="spellStart"/>
      <w:proofErr w:type="gramStart"/>
      <w:r w:rsidR="007A1593">
        <w:rPr>
          <w:rFonts w:ascii="Arial" w:eastAsia="Times New Roman" w:hAnsi="Arial" w:cs="Arial"/>
          <w:sz w:val="24"/>
          <w:szCs w:val="24"/>
        </w:rPr>
        <w:t>pHs</w:t>
      </w:r>
      <w:proofErr w:type="spellEnd"/>
      <w:proofErr w:type="gramEnd"/>
      <w:r w:rsidR="007A1593">
        <w:rPr>
          <w:rFonts w:ascii="Arial" w:eastAsia="Times New Roman" w:hAnsi="Arial" w:cs="Arial"/>
          <w:sz w:val="24"/>
          <w:szCs w:val="24"/>
        </w:rPr>
        <w:t xml:space="preserve">. </w:t>
      </w:r>
      <w:r w:rsidRPr="00623831">
        <w:rPr>
          <w:rFonts w:ascii="Arial" w:eastAsia="Times New Roman" w:hAnsi="Arial" w:cs="Arial"/>
          <w:sz w:val="24"/>
          <w:szCs w:val="24"/>
        </w:rPr>
        <w:t>Universal indi</w:t>
      </w:r>
      <w:r w:rsidR="007076A2">
        <w:rPr>
          <w:rFonts w:ascii="Arial" w:eastAsia="Times New Roman" w:hAnsi="Arial" w:cs="Arial"/>
          <w:sz w:val="24"/>
          <w:szCs w:val="24"/>
        </w:rPr>
        <w:t>cator is used to make pH paper.</w:t>
      </w:r>
    </w:p>
    <w:p w:rsidR="00F66881" w:rsidRPr="007A1593" w:rsidRDefault="007A1593">
      <w:pPr>
        <w:rPr>
          <w:rFonts w:ascii="Arial" w:hAnsi="Arial" w:cs="Arial"/>
          <w:b/>
          <w:sz w:val="24"/>
          <w:szCs w:val="24"/>
        </w:rPr>
      </w:pPr>
      <w:r w:rsidRPr="007A1593">
        <w:rPr>
          <w:rFonts w:ascii="Arial" w:hAnsi="Arial" w:cs="Arial"/>
          <w:b/>
          <w:sz w:val="24"/>
          <w:szCs w:val="24"/>
        </w:rPr>
        <w:t xml:space="preserve">Indicators, </w:t>
      </w:r>
      <w:proofErr w:type="spellStart"/>
      <w:r w:rsidRPr="007A1593">
        <w:rPr>
          <w:rFonts w:ascii="Arial" w:hAnsi="Arial" w:cs="Arial"/>
          <w:b/>
          <w:sz w:val="24"/>
          <w:szCs w:val="24"/>
        </w:rPr>
        <w:t>K</w:t>
      </w:r>
      <w:r w:rsidRPr="007A1593">
        <w:rPr>
          <w:rFonts w:ascii="Arial" w:hAnsi="Arial" w:cs="Arial"/>
          <w:b/>
          <w:sz w:val="24"/>
          <w:szCs w:val="24"/>
          <w:vertAlign w:val="subscript"/>
        </w:rPr>
        <w:t>a</w:t>
      </w:r>
      <w:proofErr w:type="spellEnd"/>
      <w:r w:rsidRPr="007A1593">
        <w:rPr>
          <w:rFonts w:ascii="Arial" w:hAnsi="Arial" w:cs="Arial"/>
          <w:b/>
          <w:sz w:val="24"/>
          <w:szCs w:val="24"/>
        </w:rPr>
        <w:t xml:space="preserve"> and pH </w:t>
      </w:r>
    </w:p>
    <w:p w:rsidR="008F72AD" w:rsidRDefault="008F72AD" w:rsidP="008F72AD">
      <w:pPr>
        <w:rPr>
          <w:rFonts w:ascii="Arial" w:hAnsi="Arial" w:cs="Arial"/>
          <w:sz w:val="24"/>
          <w:szCs w:val="24"/>
        </w:rPr>
      </w:pPr>
      <w:r>
        <w:rPr>
          <w:rFonts w:ascii="Arial" w:eastAsia="Times New Roman" w:hAnsi="Arial" w:cs="Arial"/>
          <w:noProof/>
          <w:sz w:val="24"/>
          <w:szCs w:val="24"/>
        </w:rPr>
        <mc:AlternateContent>
          <mc:Choice Requires="wpg">
            <w:drawing>
              <wp:anchor distT="0" distB="0" distL="114300" distR="114300" simplePos="0" relativeHeight="251664384" behindDoc="0" locked="0" layoutInCell="1" allowOverlap="1" wp14:anchorId="2C676B2B" wp14:editId="16871E40">
                <wp:simplePos x="0" y="0"/>
                <wp:positionH relativeFrom="column">
                  <wp:posOffset>2052320</wp:posOffset>
                </wp:positionH>
                <wp:positionV relativeFrom="paragraph">
                  <wp:posOffset>266700</wp:posOffset>
                </wp:positionV>
                <wp:extent cx="2229485" cy="596900"/>
                <wp:effectExtent l="0" t="0" r="0" b="0"/>
                <wp:wrapTopAndBottom/>
                <wp:docPr id="8" name="Group 8"/>
                <wp:cNvGraphicFramePr/>
                <a:graphic xmlns:a="http://schemas.openxmlformats.org/drawingml/2006/main">
                  <a:graphicData uri="http://schemas.microsoft.com/office/word/2010/wordprocessingGroup">
                    <wpg:wgp>
                      <wpg:cNvGrpSpPr/>
                      <wpg:grpSpPr>
                        <a:xfrm>
                          <a:off x="0" y="0"/>
                          <a:ext cx="2229485" cy="596900"/>
                          <a:chOff x="0" y="0"/>
                          <a:chExt cx="2229485" cy="596900"/>
                        </a:xfrm>
                      </wpg:grpSpPr>
                      <wps:wsp>
                        <wps:cNvPr id="9" name="Text Box 2"/>
                        <wps:cNvSpPr txBox="1">
                          <a:spLocks noChangeArrowheads="1"/>
                        </wps:cNvSpPr>
                        <wps:spPr bwMode="auto">
                          <a:xfrm>
                            <a:off x="0" y="0"/>
                            <a:ext cx="2229485" cy="596900"/>
                          </a:xfrm>
                          <a:prstGeom prst="rect">
                            <a:avLst/>
                          </a:prstGeom>
                          <a:solidFill>
                            <a:srgbClr val="FFFFFF"/>
                          </a:solidFill>
                          <a:ln w="9525">
                            <a:noFill/>
                            <a:miter lim="800000"/>
                            <a:headEnd/>
                            <a:tailEnd/>
                          </a:ln>
                        </wps:spPr>
                        <wps:txbx>
                          <w:txbxContent>
                            <w:p w:rsidR="008F72AD" w:rsidRDefault="008F72AD" w:rsidP="008F72AD">
                              <w:pPr>
                                <w:spacing w:after="300"/>
                                <w:jc w:val="center"/>
                              </w:pPr>
                              <w:proofErr w:type="spellStart"/>
                              <w:proofErr w:type="gramStart"/>
                              <w:r w:rsidRPr="007A1593">
                                <w:rPr>
                                  <w:sz w:val="24"/>
                                </w:rPr>
                                <w:t>HIn</w:t>
                              </w:r>
                              <w:proofErr w:type="spellEnd"/>
                              <w:r w:rsidRPr="007A1593">
                                <w:rPr>
                                  <w:sz w:val="24"/>
                                  <w:vertAlign w:val="subscript"/>
                                </w:rPr>
                                <w:t>(</w:t>
                              </w:r>
                              <w:proofErr w:type="gramEnd"/>
                              <w:r w:rsidRPr="007A1593">
                                <w:rPr>
                                  <w:sz w:val="24"/>
                                  <w:vertAlign w:val="subscript"/>
                                </w:rPr>
                                <w:t>aq)</w:t>
                              </w:r>
                              <w:r w:rsidRPr="007A1593">
                                <w:rPr>
                                  <w:sz w:val="24"/>
                                </w:rPr>
                                <w:t xml:space="preserve">   </w:t>
                              </w:r>
                              <w:r w:rsidRPr="007A1593">
                                <w:rPr>
                                  <w:rFonts w:ascii="Cambria Math" w:hAnsi="Cambria Math" w:cs="Cambria Math"/>
                                  <w:sz w:val="24"/>
                                </w:rPr>
                                <w:t>⇄</w:t>
                              </w:r>
                              <w:r w:rsidRPr="007A1593">
                                <w:rPr>
                                  <w:sz w:val="24"/>
                                </w:rPr>
                                <w:t xml:space="preserve">   H</w:t>
                              </w:r>
                              <w:r w:rsidRPr="007A1593">
                                <w:rPr>
                                  <w:sz w:val="24"/>
                                  <w:vertAlign w:val="superscript"/>
                                </w:rPr>
                                <w:t>+</w:t>
                              </w:r>
                              <w:r w:rsidRPr="007A1593">
                                <w:rPr>
                                  <w:sz w:val="24"/>
                                  <w:vertAlign w:val="subscript"/>
                                </w:rPr>
                                <w:t>(aq)</w:t>
                              </w:r>
                              <w:r w:rsidRPr="007A1593">
                                <w:rPr>
                                  <w:sz w:val="24"/>
                                </w:rPr>
                                <w:t xml:space="preserve">   +   In</w:t>
                              </w:r>
                              <w:r w:rsidRPr="007A1593">
                                <w:rPr>
                                  <w:sz w:val="24"/>
                                  <w:vertAlign w:val="superscript"/>
                                </w:rPr>
                                <w:t>−</w:t>
                              </w:r>
                              <w:r w:rsidRPr="007A1593">
                                <w:rPr>
                                  <w:sz w:val="24"/>
                                  <w:vertAlign w:val="subscript"/>
                                </w:rPr>
                                <w:t>(aq)</w:t>
                              </w:r>
                            </w:p>
                            <w:p w:rsidR="008F72AD" w:rsidRPr="00623831" w:rsidRDefault="008F72AD" w:rsidP="008F72AD">
                              <w:pPr>
                                <w:jc w:val="center"/>
                                <w:rPr>
                                  <w:i/>
                                </w:rPr>
                              </w:pPr>
                              <w:r w:rsidRPr="00623831">
                                <w:rPr>
                                  <w:i/>
                                  <w:sz w:val="18"/>
                                </w:rPr>
                                <w:t>Different colours</w:t>
                              </w:r>
                            </w:p>
                          </w:txbxContent>
                        </wps:txbx>
                        <wps:bodyPr rot="0" vert="horz" wrap="square" lIns="91440" tIns="45720" rIns="91440" bIns="45720" anchor="t" anchorCtr="0">
                          <a:noAutofit/>
                        </wps:bodyPr>
                      </wps:wsp>
                      <wps:wsp>
                        <wps:cNvPr id="10" name="Straight Arrow Connector 10"/>
                        <wps:cNvCnPr/>
                        <wps:spPr>
                          <a:xfrm flipH="1" flipV="1">
                            <a:off x="629817" y="237930"/>
                            <a:ext cx="35877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flipV="1">
                            <a:off x="1184988" y="237930"/>
                            <a:ext cx="368300" cy="1993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C676B2B" id="Group 8" o:spid="_x0000_s1030" style="position:absolute;margin-left:161.6pt;margin-top:21pt;width:175.55pt;height:47pt;z-index:251664384" coordsize="22294,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">
                <v:shape id="Text Box 2" o:spid="_x0000_s1031" type="#_x0000_t202" style="position:absolute;width:22294;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8F72AD" w:rsidRDefault="008F72AD" w:rsidP="008F72AD">
                        <w:pPr>
                          <w:spacing w:after="300"/>
                          <w:jc w:val="center"/>
                        </w:pPr>
                        <w:proofErr w:type="spellStart"/>
                        <w:proofErr w:type="gramStart"/>
                        <w:r w:rsidRPr="007A1593">
                          <w:rPr>
                            <w:sz w:val="24"/>
                          </w:rPr>
                          <w:t>HIn</w:t>
                        </w:r>
                        <w:proofErr w:type="spellEnd"/>
                        <w:r w:rsidRPr="007A1593">
                          <w:rPr>
                            <w:sz w:val="24"/>
                            <w:vertAlign w:val="subscript"/>
                          </w:rPr>
                          <w:t>(</w:t>
                        </w:r>
                        <w:proofErr w:type="gramEnd"/>
                        <w:r w:rsidRPr="007A1593">
                          <w:rPr>
                            <w:sz w:val="24"/>
                            <w:vertAlign w:val="subscript"/>
                          </w:rPr>
                          <w:t>aq)</w:t>
                        </w:r>
                        <w:r w:rsidRPr="007A1593">
                          <w:rPr>
                            <w:sz w:val="24"/>
                          </w:rPr>
                          <w:t xml:space="preserve">   </w:t>
                        </w:r>
                        <w:r w:rsidRPr="007A1593">
                          <w:rPr>
                            <w:rFonts w:ascii="Cambria Math" w:hAnsi="Cambria Math" w:cs="Cambria Math"/>
                            <w:sz w:val="24"/>
                          </w:rPr>
                          <w:t>⇄</w:t>
                        </w:r>
                        <w:r w:rsidRPr="007A1593">
                          <w:rPr>
                            <w:sz w:val="24"/>
                          </w:rPr>
                          <w:t xml:space="preserve">   H</w:t>
                        </w:r>
                        <w:r w:rsidRPr="007A1593">
                          <w:rPr>
                            <w:sz w:val="24"/>
                            <w:vertAlign w:val="superscript"/>
                          </w:rPr>
                          <w:t>+</w:t>
                        </w:r>
                        <w:r w:rsidRPr="007A1593">
                          <w:rPr>
                            <w:sz w:val="24"/>
                            <w:vertAlign w:val="subscript"/>
                          </w:rPr>
                          <w:t>(aq)</w:t>
                        </w:r>
                        <w:r w:rsidRPr="007A1593">
                          <w:rPr>
                            <w:sz w:val="24"/>
                          </w:rPr>
                          <w:t xml:space="preserve">   +   In</w:t>
                        </w:r>
                        <w:r w:rsidRPr="007A1593">
                          <w:rPr>
                            <w:sz w:val="24"/>
                            <w:vertAlign w:val="superscript"/>
                          </w:rPr>
                          <w:t>−</w:t>
                        </w:r>
                        <w:r w:rsidRPr="007A1593">
                          <w:rPr>
                            <w:sz w:val="24"/>
                            <w:vertAlign w:val="subscript"/>
                          </w:rPr>
                          <w:t>(aq)</w:t>
                        </w:r>
                      </w:p>
                      <w:p w:rsidR="008F72AD" w:rsidRPr="00623831" w:rsidRDefault="008F72AD" w:rsidP="008F72AD">
                        <w:pPr>
                          <w:jc w:val="center"/>
                          <w:rPr>
                            <w:i/>
                          </w:rPr>
                        </w:pPr>
                        <w:r w:rsidRPr="00623831">
                          <w:rPr>
                            <w:i/>
                            <w:sz w:val="18"/>
                          </w:rPr>
                          <w:t>Different colours</w:t>
                        </w:r>
                      </w:p>
                    </w:txbxContent>
                  </v:textbox>
                </v:shape>
                <v:shape id="Straight Arrow Connector 10" o:spid="_x0000_s1032" type="#_x0000_t32" style="position:absolute;left:6298;top:2379;width:3587;height:20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" strokecolor="black [3200]" strokeweight=".5pt">
                  <v:stroke endarrow="block" joinstyle="miter"/>
                </v:shape>
                <v:shape id="Straight Arrow Connector 11" o:spid="_x0000_s1033" type="#_x0000_t32" style="position:absolute;left:11849;top:2379;width:3683;height:19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" strokecolor="black [3200]" strokeweight=".5pt">
                  <v:stroke endarrow="block" joinstyle="miter"/>
                </v:shape>
                <w10:wrap type="topAndBottom"/>
              </v:group>
            </w:pict>
          </mc:Fallback>
        </mc:AlternateContent>
      </w:r>
      <w:r>
        <w:rPr>
          <w:rFonts w:ascii="Arial" w:hAnsi="Arial" w:cs="Arial"/>
          <w:sz w:val="24"/>
          <w:szCs w:val="24"/>
        </w:rPr>
        <w:t>Consider the indicator equilibrium system</w:t>
      </w:r>
    </w:p>
    <w:p w:rsidR="007A1593" w:rsidRPr="007A1593" w:rsidRDefault="00564420" w:rsidP="008F72AD">
      <w:pPr>
        <w:spacing w:before="240"/>
        <w:rPr>
          <w:rFonts w:ascii="Arial" w:hAnsi="Arial" w:cs="Arial"/>
          <w:sz w:val="24"/>
          <w:szCs w:val="24"/>
        </w:rPr>
      </w:pPr>
      <w:r>
        <w:rPr>
          <w:rFonts w:ascii="Arial" w:hAnsi="Arial" w:cs="Arial"/>
          <w:sz w:val="24"/>
          <w:szCs w:val="24"/>
        </w:rPr>
        <w:t>Since the pronated</w:t>
      </w:r>
      <w:r w:rsidRPr="007A1593">
        <w:rPr>
          <w:rFonts w:ascii="Arial" w:hAnsi="Arial" w:cs="Arial"/>
          <w:sz w:val="24"/>
          <w:szCs w:val="24"/>
        </w:rPr>
        <w:t xml:space="preserve"> form </w:t>
      </w:r>
      <w:r>
        <w:rPr>
          <w:rFonts w:ascii="Arial" w:hAnsi="Arial" w:cs="Arial"/>
          <w:sz w:val="24"/>
          <w:szCs w:val="24"/>
        </w:rPr>
        <w:t>of an indicator has</w:t>
      </w:r>
      <w:r w:rsidR="007A1593">
        <w:rPr>
          <w:rFonts w:ascii="Arial" w:hAnsi="Arial" w:cs="Arial"/>
          <w:sz w:val="24"/>
          <w:szCs w:val="24"/>
        </w:rPr>
        <w:t xml:space="preserve"> a different co</w:t>
      </w:r>
      <w:r>
        <w:rPr>
          <w:rFonts w:ascii="Arial" w:hAnsi="Arial" w:cs="Arial"/>
          <w:sz w:val="24"/>
          <w:szCs w:val="24"/>
        </w:rPr>
        <w:t>lour to its non-pronated</w:t>
      </w:r>
      <w:r w:rsidR="007A1593" w:rsidRPr="007A1593">
        <w:rPr>
          <w:rFonts w:ascii="Arial" w:hAnsi="Arial" w:cs="Arial"/>
          <w:sz w:val="24"/>
          <w:szCs w:val="24"/>
        </w:rPr>
        <w:t xml:space="preserve"> form</w:t>
      </w:r>
      <w:r w:rsidR="007A1593">
        <w:rPr>
          <w:rFonts w:ascii="Arial" w:hAnsi="Arial" w:cs="Arial"/>
          <w:sz w:val="24"/>
          <w:szCs w:val="24"/>
        </w:rPr>
        <w:t xml:space="preserve">, </w:t>
      </w:r>
      <w:r w:rsidR="007A1593" w:rsidRPr="007A1593">
        <w:rPr>
          <w:rFonts w:ascii="Arial" w:hAnsi="Arial" w:cs="Arial"/>
          <w:sz w:val="24"/>
          <w:szCs w:val="24"/>
        </w:rPr>
        <w:t xml:space="preserve">the </w:t>
      </w:r>
      <w:r>
        <w:rPr>
          <w:rFonts w:ascii="Arial" w:hAnsi="Arial" w:cs="Arial"/>
          <w:sz w:val="24"/>
          <w:szCs w:val="24"/>
        </w:rPr>
        <w:t xml:space="preserve">exact </w:t>
      </w:r>
      <w:r w:rsidR="007A1593">
        <w:rPr>
          <w:rFonts w:ascii="Arial" w:hAnsi="Arial" w:cs="Arial"/>
          <w:sz w:val="24"/>
          <w:szCs w:val="24"/>
        </w:rPr>
        <w:t xml:space="preserve">“middle” </w:t>
      </w:r>
      <w:r w:rsidR="007A1593" w:rsidRPr="007A1593">
        <w:rPr>
          <w:rFonts w:ascii="Arial" w:hAnsi="Arial" w:cs="Arial"/>
          <w:sz w:val="24"/>
          <w:szCs w:val="24"/>
        </w:rPr>
        <w:t xml:space="preserve">point of changing colour </w:t>
      </w:r>
      <w:r>
        <w:rPr>
          <w:rFonts w:ascii="Arial" w:hAnsi="Arial" w:cs="Arial"/>
          <w:sz w:val="24"/>
          <w:szCs w:val="24"/>
        </w:rPr>
        <w:t xml:space="preserve">can be assumed to be </w:t>
      </w:r>
      <w:r w:rsidR="007A1593" w:rsidRPr="007A1593">
        <w:rPr>
          <w:rFonts w:ascii="Arial" w:hAnsi="Arial" w:cs="Arial"/>
          <w:sz w:val="24"/>
          <w:szCs w:val="24"/>
        </w:rPr>
        <w:t>when there is 50% of both forms present</w:t>
      </w:r>
      <w:r w:rsidR="007A1593">
        <w:rPr>
          <w:rFonts w:ascii="Arial" w:hAnsi="Arial" w:cs="Arial"/>
          <w:sz w:val="24"/>
          <w:szCs w:val="24"/>
        </w:rPr>
        <w:t>.</w:t>
      </w:r>
      <w:r w:rsidR="008F72AD">
        <w:rPr>
          <w:rFonts w:ascii="Arial" w:hAnsi="Arial" w:cs="Arial"/>
          <w:sz w:val="24"/>
          <w:szCs w:val="24"/>
        </w:rPr>
        <w:t xml:space="preserve"> </w:t>
      </w:r>
      <w:r w:rsidR="007A1593">
        <w:rPr>
          <w:rFonts w:ascii="Arial" w:hAnsi="Arial" w:cs="Arial"/>
          <w:sz w:val="24"/>
          <w:szCs w:val="24"/>
        </w:rPr>
        <w:t xml:space="preserve">In terms of concentration, this assumption means that the concentration of </w:t>
      </w:r>
      <w:proofErr w:type="spellStart"/>
      <w:r w:rsidR="007A1593">
        <w:rPr>
          <w:rFonts w:ascii="Arial" w:hAnsi="Arial" w:cs="Arial"/>
          <w:sz w:val="24"/>
          <w:szCs w:val="24"/>
        </w:rPr>
        <w:t>HIn</w:t>
      </w:r>
      <w:proofErr w:type="spellEnd"/>
      <w:r w:rsidR="007A1593">
        <w:rPr>
          <w:rFonts w:ascii="Arial" w:hAnsi="Arial" w:cs="Arial"/>
          <w:sz w:val="24"/>
          <w:szCs w:val="24"/>
        </w:rPr>
        <w:t xml:space="preserve"> and </w:t>
      </w:r>
      <w:proofErr w:type="gramStart"/>
      <w:r w:rsidR="007A1593">
        <w:rPr>
          <w:rFonts w:ascii="Arial" w:hAnsi="Arial" w:cs="Arial"/>
          <w:sz w:val="24"/>
          <w:szCs w:val="24"/>
        </w:rPr>
        <w:t>In</w:t>
      </w:r>
      <w:proofErr w:type="gramEnd"/>
      <w:r w:rsidR="007A1593">
        <w:rPr>
          <w:rFonts w:ascii="Arial" w:hAnsi="Arial" w:cs="Arial"/>
          <w:sz w:val="24"/>
          <w:szCs w:val="24"/>
          <w:vertAlign w:val="superscript"/>
        </w:rPr>
        <w:t>-</w:t>
      </w:r>
      <w:r w:rsidR="007A1593">
        <w:rPr>
          <w:rFonts w:ascii="Arial" w:hAnsi="Arial" w:cs="Arial"/>
          <w:sz w:val="24"/>
          <w:szCs w:val="24"/>
        </w:rPr>
        <w:t xml:space="preserve"> will be equal at the point at which the indicator is changing colour</w:t>
      </w:r>
    </w:p>
    <w:p w:rsidR="007A1593" w:rsidRDefault="007A1593" w:rsidP="007A1593">
      <w:pPr>
        <w:rPr>
          <w:rFonts w:ascii="Arial" w:hAnsi="Arial" w:cs="Arial"/>
          <w:sz w:val="24"/>
          <w:szCs w:val="24"/>
        </w:rPr>
      </w:pPr>
      <w:r w:rsidRPr="007A1593">
        <w:rPr>
          <w:rFonts w:ascii="Arial" w:hAnsi="Arial" w:cs="Arial"/>
          <w:sz w:val="24"/>
          <w:szCs w:val="24"/>
        </w:rPr>
        <w:t>If we apply the equilibrium law to this situation then:</w:t>
      </w:r>
    </w:p>
    <w:p w:rsidR="00564420" w:rsidRPr="007A1593" w:rsidRDefault="00961FE8" w:rsidP="00564420">
      <w:pPr>
        <w:spacing w:after="240"/>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a</m:t>
              </m:r>
            </m:sub>
          </m:sSub>
          <m:r>
            <w:rPr>
              <w:rFonts w:ascii="Cambria Math" w:hAnsi="Cambria Math" w:cs="Arial"/>
              <w:sz w:val="24"/>
              <w:szCs w:val="24"/>
            </w:rPr>
            <m:t xml:space="preserve">= </m:t>
          </m:r>
          <m:f>
            <m:fPr>
              <m:ctrlPr>
                <w:rPr>
                  <w:rFonts w:ascii="Cambria Math" w:hAnsi="Cambria Math" w:cs="Arial"/>
                  <w:i/>
                  <w:sz w:val="24"/>
                  <w:szCs w:val="24"/>
                </w:rPr>
              </m:ctrlPr>
            </m:fPr>
            <m:num>
              <m:d>
                <m:dPr>
                  <m:begChr m:val="["/>
                  <m:endChr m:val="]"/>
                  <m:ctrlPr>
                    <w:rPr>
                      <w:rFonts w:ascii="Cambria Math" w:hAnsi="Cambria Math" w:cs="Arial"/>
                      <w:i/>
                      <w:sz w:val="24"/>
                      <w:szCs w:val="24"/>
                    </w:rPr>
                  </m:ctrlPr>
                </m:dPr>
                <m:e>
                  <m:sSup>
                    <m:sSupPr>
                      <m:ctrlPr>
                        <w:rPr>
                          <w:rFonts w:ascii="Cambria Math" w:hAnsi="Cambria Math" w:cs="Arial"/>
                          <w:i/>
                          <w:sz w:val="24"/>
                          <w:szCs w:val="24"/>
                        </w:rPr>
                      </m:ctrlPr>
                    </m:sSupPr>
                    <m:e>
                      <m:r>
                        <w:rPr>
                          <w:rFonts w:ascii="Cambria Math" w:hAnsi="Cambria Math" w:cs="Arial"/>
                          <w:sz w:val="24"/>
                          <w:szCs w:val="24"/>
                        </w:rPr>
                        <m:t>H</m:t>
                      </m:r>
                    </m:e>
                    <m:sup>
                      <m:r>
                        <w:rPr>
                          <w:rFonts w:ascii="Cambria Math" w:hAnsi="Cambria Math" w:cs="Arial"/>
                          <w:sz w:val="24"/>
                          <w:szCs w:val="24"/>
                        </w:rPr>
                        <m:t>+</m:t>
                      </m:r>
                    </m:sup>
                  </m:sSup>
                </m:e>
              </m:d>
              <m:r>
                <w:rPr>
                  <w:rFonts w:ascii="Cambria Math" w:hAnsi="Cambria Math" w:cs="Arial"/>
                  <w:sz w:val="24"/>
                  <w:szCs w:val="24"/>
                </w:rPr>
                <m:t>[HIn]</m:t>
              </m:r>
            </m:num>
            <m:den>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HI</m:t>
                  </m:r>
                </m:e>
                <m:sup>
                  <m:r>
                    <w:rPr>
                      <w:rFonts w:ascii="Cambria Math" w:hAnsi="Cambria Math" w:cs="Arial"/>
                      <w:sz w:val="24"/>
                      <w:szCs w:val="24"/>
                    </w:rPr>
                    <m:t>-</m:t>
                  </m:r>
                </m:sup>
              </m:sSup>
              <m:r>
                <w:rPr>
                  <w:rFonts w:ascii="Cambria Math" w:hAnsi="Cambria Math" w:cs="Arial"/>
                  <w:sz w:val="24"/>
                  <w:szCs w:val="24"/>
                </w:rPr>
                <m:t>]</m:t>
              </m:r>
            </m:den>
          </m:f>
        </m:oMath>
      </m:oMathPara>
    </w:p>
    <w:p w:rsidR="007A1593" w:rsidRDefault="00564420" w:rsidP="007A1593">
      <w:pPr>
        <w:rPr>
          <w:rFonts w:ascii="Arial" w:hAnsi="Arial" w:cs="Arial"/>
          <w:sz w:val="24"/>
          <w:szCs w:val="24"/>
        </w:rPr>
      </w:pPr>
      <w:r>
        <w:rPr>
          <w:rFonts w:ascii="Arial" w:hAnsi="Arial" w:cs="Arial"/>
          <w:sz w:val="24"/>
          <w:szCs w:val="24"/>
        </w:rPr>
        <w:t xml:space="preserve">At the middle point of changing colour </w:t>
      </w:r>
      <w:r w:rsidR="007A1593" w:rsidRPr="007A1593">
        <w:rPr>
          <w:rFonts w:ascii="Arial" w:hAnsi="Arial" w:cs="Arial"/>
          <w:sz w:val="24"/>
          <w:szCs w:val="24"/>
        </w:rPr>
        <w:t>[In</w:t>
      </w:r>
      <w:r w:rsidR="007A1593" w:rsidRPr="007A1593">
        <w:rPr>
          <w:rFonts w:ascii="Arial" w:hAnsi="Arial" w:cs="Arial"/>
          <w:sz w:val="24"/>
          <w:szCs w:val="24"/>
          <w:vertAlign w:val="superscript"/>
        </w:rPr>
        <w:t>-</w:t>
      </w:r>
      <w:r w:rsidR="007A1593" w:rsidRPr="007A1593">
        <w:rPr>
          <w:rFonts w:ascii="Arial" w:hAnsi="Arial" w:cs="Arial"/>
          <w:sz w:val="24"/>
          <w:szCs w:val="24"/>
        </w:rPr>
        <w:t>] = [</w:t>
      </w:r>
      <w:proofErr w:type="spellStart"/>
      <w:r w:rsidR="007A1593" w:rsidRPr="007A1593">
        <w:rPr>
          <w:rFonts w:ascii="Arial" w:hAnsi="Arial" w:cs="Arial"/>
          <w:sz w:val="24"/>
          <w:szCs w:val="24"/>
        </w:rPr>
        <w:t>HIn</w:t>
      </w:r>
      <w:proofErr w:type="spellEnd"/>
      <w:r w:rsidR="007A1593" w:rsidRPr="007A1593">
        <w:rPr>
          <w:rFonts w:ascii="Arial" w:hAnsi="Arial" w:cs="Arial"/>
          <w:sz w:val="24"/>
          <w:szCs w:val="24"/>
        </w:rPr>
        <w:t>]</w:t>
      </w:r>
      <w:r>
        <w:rPr>
          <w:rFonts w:ascii="Arial" w:hAnsi="Arial" w:cs="Arial"/>
          <w:sz w:val="24"/>
          <w:szCs w:val="24"/>
        </w:rPr>
        <w:t>, which means these values</w:t>
      </w:r>
      <w:r w:rsidR="007A1593" w:rsidRPr="007A1593">
        <w:rPr>
          <w:rFonts w:ascii="Arial" w:hAnsi="Arial" w:cs="Arial"/>
          <w:sz w:val="24"/>
          <w:szCs w:val="24"/>
        </w:rPr>
        <w:t xml:space="preserve"> cancel out from the equation to give:</w:t>
      </w:r>
    </w:p>
    <w:p w:rsidR="00564420" w:rsidRDefault="00961FE8" w:rsidP="00564420">
      <w:pPr>
        <w:spacing w:after="240"/>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a</m:t>
              </m:r>
            </m:sub>
          </m:sSub>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H</m:t>
              </m:r>
            </m:e>
            <m:sup>
              <m:r>
                <w:rPr>
                  <w:rFonts w:ascii="Cambria Math" w:hAnsi="Cambria Math" w:cs="Arial"/>
                  <w:sz w:val="24"/>
                  <w:szCs w:val="24"/>
                </w:rPr>
                <m:t>+</m:t>
              </m:r>
            </m:sup>
          </m:sSup>
          <m:r>
            <w:rPr>
              <w:rFonts w:ascii="Cambria Math" w:hAnsi="Cambria Math" w:cs="Arial"/>
              <w:sz w:val="24"/>
              <w:szCs w:val="24"/>
            </w:rPr>
            <m:t>]</m:t>
          </m:r>
        </m:oMath>
      </m:oMathPara>
    </w:p>
    <w:p w:rsidR="007A1593" w:rsidRPr="007A1593" w:rsidRDefault="007A1593" w:rsidP="007A1593">
      <w:pPr>
        <w:rPr>
          <w:rFonts w:ascii="Arial" w:hAnsi="Arial" w:cs="Arial"/>
          <w:sz w:val="24"/>
          <w:szCs w:val="24"/>
        </w:rPr>
      </w:pPr>
      <w:r w:rsidRPr="007A1593">
        <w:rPr>
          <w:rFonts w:ascii="Arial" w:hAnsi="Arial" w:cs="Arial"/>
          <w:sz w:val="24"/>
          <w:szCs w:val="24"/>
        </w:rPr>
        <w:t>And therefore:</w:t>
      </w:r>
      <w:r w:rsidR="00564420">
        <w:rPr>
          <w:rFonts w:ascii="Arial" w:hAnsi="Arial" w:cs="Arial"/>
          <w:sz w:val="24"/>
          <w:szCs w:val="24"/>
        </w:rPr>
        <w:t xml:space="preserve">                                           </w:t>
      </w:r>
      <w:proofErr w:type="spellStart"/>
      <w:r w:rsidRPr="00564420">
        <w:rPr>
          <w:rFonts w:ascii="Arial" w:hAnsi="Arial" w:cs="Arial"/>
          <w:b/>
          <w:sz w:val="24"/>
          <w:szCs w:val="24"/>
        </w:rPr>
        <w:t>pKa</w:t>
      </w:r>
      <w:proofErr w:type="spellEnd"/>
      <w:r w:rsidRPr="00564420">
        <w:rPr>
          <w:rFonts w:ascii="Arial" w:hAnsi="Arial" w:cs="Arial"/>
          <w:b/>
          <w:sz w:val="24"/>
          <w:szCs w:val="24"/>
        </w:rPr>
        <w:t xml:space="preserve"> = pH</w:t>
      </w:r>
    </w:p>
    <w:p w:rsidR="007A1593" w:rsidRPr="00861CE3" w:rsidRDefault="00861CE3">
      <w:pPr>
        <w:rPr>
          <w:rFonts w:ascii="Arial" w:hAnsi="Arial" w:cs="Arial"/>
          <w:sz w:val="24"/>
          <w:szCs w:val="24"/>
        </w:rPr>
      </w:pPr>
      <w:r>
        <w:rPr>
          <w:rFonts w:ascii="Arial" w:hAnsi="Arial" w:cs="Arial"/>
          <w:sz w:val="24"/>
          <w:szCs w:val="24"/>
        </w:rPr>
        <w:t xml:space="preserve">The </w:t>
      </w:r>
      <w:proofErr w:type="spellStart"/>
      <w:r w:rsidRPr="00861CE3">
        <w:rPr>
          <w:rFonts w:ascii="Arial" w:hAnsi="Arial" w:cs="Arial"/>
          <w:sz w:val="24"/>
          <w:szCs w:val="24"/>
        </w:rPr>
        <w:t>pK</w:t>
      </w:r>
      <w:r>
        <w:rPr>
          <w:rFonts w:ascii="Arial" w:hAnsi="Arial" w:cs="Arial"/>
          <w:sz w:val="24"/>
          <w:szCs w:val="24"/>
          <w:vertAlign w:val="subscript"/>
        </w:rPr>
        <w:t>a</w:t>
      </w:r>
      <w:proofErr w:type="spellEnd"/>
      <w:r>
        <w:rPr>
          <w:rFonts w:ascii="Arial" w:hAnsi="Arial" w:cs="Arial"/>
          <w:sz w:val="24"/>
          <w:szCs w:val="24"/>
        </w:rPr>
        <w:t xml:space="preserve"> value is simply –</w:t>
      </w:r>
      <w:proofErr w:type="gramStart"/>
      <w:r>
        <w:rPr>
          <w:rFonts w:ascii="Arial" w:hAnsi="Arial" w:cs="Arial"/>
          <w:sz w:val="24"/>
          <w:szCs w:val="24"/>
        </w:rPr>
        <w:t>log</w:t>
      </w:r>
      <w:r>
        <w:rPr>
          <w:rFonts w:ascii="Arial" w:hAnsi="Arial" w:cs="Arial"/>
          <w:sz w:val="24"/>
          <w:szCs w:val="24"/>
          <w:vertAlign w:val="subscript"/>
        </w:rPr>
        <w:t>10</w:t>
      </w:r>
      <w:r>
        <w:rPr>
          <w:rFonts w:ascii="Arial" w:hAnsi="Arial" w:cs="Arial"/>
          <w:sz w:val="24"/>
          <w:szCs w:val="24"/>
        </w:rPr>
        <w:t>(</w:t>
      </w:r>
      <w:proofErr w:type="spellStart"/>
      <w:proofErr w:type="gramEnd"/>
      <w:r>
        <w:rPr>
          <w:rFonts w:ascii="Arial" w:hAnsi="Arial" w:cs="Arial"/>
          <w:sz w:val="24"/>
          <w:szCs w:val="24"/>
        </w:rPr>
        <w:t>K</w:t>
      </w:r>
      <w:r>
        <w:rPr>
          <w:rFonts w:ascii="Arial" w:hAnsi="Arial" w:cs="Arial"/>
          <w:sz w:val="24"/>
          <w:szCs w:val="24"/>
          <w:vertAlign w:val="subscript"/>
        </w:rPr>
        <w:t>a</w:t>
      </w:r>
      <w:proofErr w:type="spellEnd"/>
      <w:r>
        <w:rPr>
          <w:rFonts w:ascii="Arial" w:hAnsi="Arial" w:cs="Arial"/>
          <w:sz w:val="24"/>
          <w:szCs w:val="24"/>
        </w:rPr>
        <w:t xml:space="preserve">). </w:t>
      </w:r>
      <w:r w:rsidR="007A1593" w:rsidRPr="00861CE3">
        <w:rPr>
          <w:rFonts w:ascii="Arial" w:hAnsi="Arial" w:cs="Arial"/>
          <w:sz w:val="24"/>
          <w:szCs w:val="24"/>
        </w:rPr>
        <w:t>The</w:t>
      </w:r>
      <w:r>
        <w:rPr>
          <w:rFonts w:ascii="Arial" w:hAnsi="Arial" w:cs="Arial"/>
          <w:sz w:val="24"/>
          <w:szCs w:val="24"/>
        </w:rPr>
        <w:t xml:space="preserve">refore, the </w:t>
      </w:r>
      <w:r w:rsidR="007A1593" w:rsidRPr="007A1593">
        <w:rPr>
          <w:rFonts w:ascii="Arial" w:hAnsi="Arial" w:cs="Arial"/>
          <w:sz w:val="24"/>
          <w:szCs w:val="24"/>
        </w:rPr>
        <w:t xml:space="preserve">consequence of this answer is that the indicator will change colour when the pH is the same value as its </w:t>
      </w:r>
      <w:proofErr w:type="spellStart"/>
      <w:r w:rsidR="007A1593" w:rsidRPr="007A1593">
        <w:rPr>
          <w:rFonts w:ascii="Arial" w:hAnsi="Arial" w:cs="Arial"/>
          <w:sz w:val="24"/>
          <w:szCs w:val="24"/>
        </w:rPr>
        <w:t>pKa</w:t>
      </w:r>
      <w:proofErr w:type="spellEnd"/>
      <w:r w:rsidR="007A1593" w:rsidRPr="007A1593">
        <w:rPr>
          <w:rFonts w:ascii="Arial" w:hAnsi="Arial" w:cs="Arial"/>
          <w:sz w:val="24"/>
          <w:szCs w:val="24"/>
        </w:rPr>
        <w:t xml:space="preserve"> value. Hence, </w:t>
      </w:r>
      <w:r w:rsidR="00564420">
        <w:rPr>
          <w:rFonts w:ascii="Arial" w:hAnsi="Arial" w:cs="Arial"/>
          <w:sz w:val="24"/>
          <w:szCs w:val="24"/>
        </w:rPr>
        <w:t xml:space="preserve">as </w:t>
      </w:r>
      <w:r w:rsidR="007A1593" w:rsidRPr="007A1593">
        <w:rPr>
          <w:rFonts w:ascii="Arial" w:hAnsi="Arial" w:cs="Arial"/>
          <w:sz w:val="24"/>
          <w:szCs w:val="24"/>
        </w:rPr>
        <w:t xml:space="preserve">indicators </w:t>
      </w:r>
      <w:r w:rsidR="00564420">
        <w:rPr>
          <w:rFonts w:ascii="Arial" w:hAnsi="Arial" w:cs="Arial"/>
          <w:sz w:val="24"/>
          <w:szCs w:val="24"/>
        </w:rPr>
        <w:t xml:space="preserve">have different equilibriums, and different </w:t>
      </w:r>
      <w:proofErr w:type="spellStart"/>
      <w:r w:rsidR="00564420" w:rsidRPr="00564420">
        <w:rPr>
          <w:rFonts w:ascii="Arial" w:hAnsi="Arial" w:cs="Arial"/>
          <w:sz w:val="24"/>
          <w:szCs w:val="24"/>
        </w:rPr>
        <w:t>K</w:t>
      </w:r>
      <w:r w:rsidR="00564420" w:rsidRPr="00564420">
        <w:rPr>
          <w:rFonts w:ascii="Arial" w:hAnsi="Arial" w:cs="Arial"/>
          <w:sz w:val="24"/>
          <w:szCs w:val="24"/>
          <w:vertAlign w:val="subscript"/>
        </w:rPr>
        <w:t>a</w:t>
      </w:r>
      <w:proofErr w:type="spellEnd"/>
      <w:r w:rsidR="00564420">
        <w:rPr>
          <w:rFonts w:ascii="Arial" w:hAnsi="Arial" w:cs="Arial"/>
          <w:sz w:val="24"/>
          <w:szCs w:val="24"/>
        </w:rPr>
        <w:t xml:space="preserve"> values, they have different </w:t>
      </w:r>
      <w:proofErr w:type="spellStart"/>
      <w:proofErr w:type="gramStart"/>
      <w:r w:rsidR="00564420">
        <w:rPr>
          <w:rFonts w:ascii="Arial" w:hAnsi="Arial" w:cs="Arial"/>
          <w:sz w:val="24"/>
          <w:szCs w:val="24"/>
        </w:rPr>
        <w:t>pHs</w:t>
      </w:r>
      <w:proofErr w:type="spellEnd"/>
      <w:proofErr w:type="gramEnd"/>
      <w:r w:rsidR="00564420">
        <w:rPr>
          <w:rFonts w:ascii="Arial" w:hAnsi="Arial" w:cs="Arial"/>
          <w:sz w:val="24"/>
          <w:szCs w:val="24"/>
        </w:rPr>
        <w:t xml:space="preserve"> at which they </w:t>
      </w:r>
      <w:r w:rsidR="009927F7">
        <w:rPr>
          <w:rFonts w:ascii="Arial" w:hAnsi="Arial" w:cs="Arial"/>
          <w:sz w:val="24"/>
          <w:szCs w:val="24"/>
        </w:rPr>
        <w:t xml:space="preserve">change colour. The pH range at </w:t>
      </w:r>
      <w:r w:rsidR="00564420">
        <w:rPr>
          <w:rFonts w:ascii="Arial" w:hAnsi="Arial" w:cs="Arial"/>
          <w:sz w:val="24"/>
          <w:szCs w:val="24"/>
        </w:rPr>
        <w:t>which the indicator changes colour can be used to calculate it</w:t>
      </w:r>
      <w:r w:rsidR="0011134E">
        <w:rPr>
          <w:rFonts w:ascii="Arial" w:hAnsi="Arial" w:cs="Arial"/>
          <w:sz w:val="24"/>
          <w:szCs w:val="24"/>
        </w:rPr>
        <w:t>s</w:t>
      </w:r>
      <w:r>
        <w:rPr>
          <w:rFonts w:ascii="Arial" w:hAnsi="Arial" w:cs="Arial"/>
          <w:sz w:val="24"/>
          <w:szCs w:val="24"/>
        </w:rPr>
        <w:t xml:space="preserve"> approximate</w:t>
      </w:r>
      <w:r w:rsidR="00564420">
        <w:rPr>
          <w:rFonts w:ascii="Arial" w:hAnsi="Arial" w:cs="Arial"/>
          <w:sz w:val="24"/>
          <w:szCs w:val="24"/>
        </w:rPr>
        <w:t xml:space="preserve"> </w:t>
      </w:r>
      <w:proofErr w:type="spellStart"/>
      <w:r w:rsidR="00564420">
        <w:rPr>
          <w:rFonts w:ascii="Arial" w:hAnsi="Arial" w:cs="Arial"/>
          <w:sz w:val="24"/>
          <w:szCs w:val="24"/>
        </w:rPr>
        <w:t>K</w:t>
      </w:r>
      <w:r w:rsidR="00564420">
        <w:rPr>
          <w:rFonts w:ascii="Arial" w:hAnsi="Arial" w:cs="Arial"/>
          <w:sz w:val="24"/>
          <w:szCs w:val="24"/>
          <w:vertAlign w:val="subscript"/>
        </w:rPr>
        <w:t>a</w:t>
      </w:r>
      <w:proofErr w:type="spellEnd"/>
      <w:r w:rsidR="00564420">
        <w:rPr>
          <w:rFonts w:ascii="Arial" w:hAnsi="Arial" w:cs="Arial"/>
          <w:sz w:val="24"/>
          <w:szCs w:val="24"/>
        </w:rPr>
        <w:t>.</w:t>
      </w:r>
      <w:r>
        <w:rPr>
          <w:rFonts w:ascii="Arial" w:hAnsi="Arial" w:cs="Arial"/>
          <w:sz w:val="24"/>
          <w:szCs w:val="24"/>
        </w:rPr>
        <w:t xml:space="preserve"> The opposite is also true though, you can look up an accurate value of </w:t>
      </w:r>
      <w:proofErr w:type="spellStart"/>
      <w:r>
        <w:rPr>
          <w:rFonts w:ascii="Arial" w:hAnsi="Arial" w:cs="Arial"/>
          <w:sz w:val="24"/>
          <w:szCs w:val="24"/>
        </w:rPr>
        <w:t>K</w:t>
      </w:r>
      <w:r>
        <w:rPr>
          <w:rFonts w:ascii="Arial" w:hAnsi="Arial" w:cs="Arial"/>
          <w:sz w:val="24"/>
          <w:szCs w:val="24"/>
          <w:vertAlign w:val="subscript"/>
        </w:rPr>
        <w:t>a</w:t>
      </w:r>
      <w:proofErr w:type="spellEnd"/>
      <w:r>
        <w:rPr>
          <w:rFonts w:ascii="Arial" w:hAnsi="Arial" w:cs="Arial"/>
          <w:sz w:val="24"/>
          <w:szCs w:val="24"/>
        </w:rPr>
        <w:t xml:space="preserve"> value for an indicator, apply the –log</w:t>
      </w:r>
      <w:r>
        <w:rPr>
          <w:rFonts w:ascii="Arial" w:hAnsi="Arial" w:cs="Arial"/>
          <w:sz w:val="24"/>
          <w:szCs w:val="24"/>
          <w:vertAlign w:val="subscript"/>
        </w:rPr>
        <w:t>10</w:t>
      </w:r>
      <w:r>
        <w:rPr>
          <w:rFonts w:ascii="Arial" w:hAnsi="Arial" w:cs="Arial"/>
          <w:sz w:val="24"/>
          <w:szCs w:val="24"/>
        </w:rPr>
        <w:t xml:space="preserve"> function to get its </w:t>
      </w:r>
      <w:proofErr w:type="spellStart"/>
      <w:r>
        <w:rPr>
          <w:rFonts w:ascii="Arial" w:hAnsi="Arial" w:cs="Arial"/>
          <w:sz w:val="24"/>
          <w:szCs w:val="24"/>
        </w:rPr>
        <w:t>pK</w:t>
      </w:r>
      <w:r>
        <w:rPr>
          <w:rFonts w:ascii="Arial" w:hAnsi="Arial" w:cs="Arial"/>
          <w:sz w:val="24"/>
          <w:szCs w:val="24"/>
          <w:vertAlign w:val="subscript"/>
        </w:rPr>
        <w:t>a</w:t>
      </w:r>
      <w:proofErr w:type="spellEnd"/>
      <w:r>
        <w:rPr>
          <w:rFonts w:ascii="Arial" w:hAnsi="Arial" w:cs="Arial"/>
          <w:sz w:val="24"/>
          <w:szCs w:val="24"/>
        </w:rPr>
        <w:t xml:space="preserve"> and therefore know the pH at which that indicator will change colour. In </w:t>
      </w:r>
      <w:proofErr w:type="gramStart"/>
      <w:r>
        <w:rPr>
          <w:rFonts w:ascii="Arial" w:hAnsi="Arial" w:cs="Arial"/>
          <w:sz w:val="24"/>
          <w:szCs w:val="24"/>
        </w:rPr>
        <w:t>truth</w:t>
      </w:r>
      <w:proofErr w:type="gramEnd"/>
      <w:r>
        <w:rPr>
          <w:rFonts w:ascii="Arial" w:hAnsi="Arial" w:cs="Arial"/>
          <w:sz w:val="24"/>
          <w:szCs w:val="24"/>
        </w:rPr>
        <w:t xml:space="preserve"> the colour change generally occurs over a slightly wider pH range of +/- 1 either side of the calculated pH</w:t>
      </w:r>
      <w:r w:rsidR="00961FE8">
        <w:rPr>
          <w:rFonts w:ascii="Arial" w:hAnsi="Arial" w:cs="Arial"/>
          <w:sz w:val="24"/>
          <w:szCs w:val="24"/>
        </w:rPr>
        <w:t>.</w:t>
      </w:r>
      <w:bookmarkStart w:id="0" w:name="_GoBack"/>
      <w:bookmarkEnd w:id="0"/>
    </w:p>
    <w:p w:rsidR="007A1593" w:rsidRPr="00623831" w:rsidRDefault="007A1593">
      <w:pPr>
        <w:rPr>
          <w:rFonts w:ascii="Arial" w:hAnsi="Arial" w:cs="Arial"/>
          <w:sz w:val="24"/>
          <w:szCs w:val="24"/>
        </w:rPr>
      </w:pPr>
    </w:p>
    <w:sectPr w:rsidR="007A1593" w:rsidRPr="00623831" w:rsidSect="007076A2">
      <w:pgSz w:w="11906" w:h="16838"/>
      <w:pgMar w:top="567"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31"/>
    <w:rsid w:val="0011134E"/>
    <w:rsid w:val="00564420"/>
    <w:rsid w:val="00623831"/>
    <w:rsid w:val="007076A2"/>
    <w:rsid w:val="007A1593"/>
    <w:rsid w:val="00861CE3"/>
    <w:rsid w:val="008F72AD"/>
    <w:rsid w:val="00961FE8"/>
    <w:rsid w:val="009927F7"/>
    <w:rsid w:val="00F6688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9AC7"/>
  <w15:chartTrackingRefBased/>
  <w15:docId w15:val="{92725F30-FFAB-46B9-9EFD-A3A35290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238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383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238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3831"/>
    <w:rPr>
      <w:b/>
      <w:bCs/>
    </w:rPr>
  </w:style>
  <w:style w:type="character" w:styleId="Hyperlink">
    <w:name w:val="Hyperlink"/>
    <w:basedOn w:val="DefaultParagraphFont"/>
    <w:uiPriority w:val="99"/>
    <w:semiHidden/>
    <w:unhideWhenUsed/>
    <w:rsid w:val="00623831"/>
    <w:rPr>
      <w:color w:val="0000FF"/>
      <w:u w:val="single"/>
    </w:rPr>
  </w:style>
  <w:style w:type="character" w:customStyle="1" w:styleId="mtext">
    <w:name w:val="mtext"/>
    <w:basedOn w:val="DefaultParagraphFont"/>
    <w:rsid w:val="00623831"/>
  </w:style>
  <w:style w:type="character" w:customStyle="1" w:styleId="mo">
    <w:name w:val="mo"/>
    <w:basedOn w:val="DefaultParagraphFont"/>
    <w:rsid w:val="00623831"/>
  </w:style>
  <w:style w:type="character" w:customStyle="1" w:styleId="mi">
    <w:name w:val="mi"/>
    <w:basedOn w:val="DefaultParagraphFont"/>
    <w:rsid w:val="00623831"/>
  </w:style>
  <w:style w:type="character" w:styleId="PlaceholderText">
    <w:name w:val="Placeholder Text"/>
    <w:basedOn w:val="DefaultParagraphFont"/>
    <w:uiPriority w:val="99"/>
    <w:semiHidden/>
    <w:rsid w:val="005644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75700">
      <w:bodyDiv w:val="1"/>
      <w:marLeft w:val="0"/>
      <w:marRight w:val="0"/>
      <w:marTop w:val="0"/>
      <w:marBottom w:val="0"/>
      <w:divBdr>
        <w:top w:val="none" w:sz="0" w:space="0" w:color="auto"/>
        <w:left w:val="none" w:sz="0" w:space="0" w:color="auto"/>
        <w:bottom w:val="none" w:sz="0" w:space="0" w:color="auto"/>
        <w:right w:val="none" w:sz="0" w:space="0" w:color="auto"/>
      </w:divBdr>
    </w:div>
    <w:div w:id="1234656777">
      <w:bodyDiv w:val="1"/>
      <w:marLeft w:val="0"/>
      <w:marRight w:val="0"/>
      <w:marTop w:val="0"/>
      <w:marBottom w:val="0"/>
      <w:divBdr>
        <w:top w:val="none" w:sz="0" w:space="0" w:color="auto"/>
        <w:left w:val="none" w:sz="0" w:space="0" w:color="auto"/>
        <w:bottom w:val="none" w:sz="0" w:space="0" w:color="auto"/>
        <w:right w:val="none" w:sz="0" w:space="0" w:color="auto"/>
      </w:divBdr>
      <w:divsChild>
        <w:div w:id="1353337160">
          <w:marLeft w:val="0"/>
          <w:marRight w:val="0"/>
          <w:marTop w:val="0"/>
          <w:marBottom w:val="0"/>
          <w:divBdr>
            <w:top w:val="none" w:sz="0" w:space="0" w:color="auto"/>
            <w:left w:val="none" w:sz="0" w:space="0" w:color="auto"/>
            <w:bottom w:val="none" w:sz="0" w:space="0" w:color="auto"/>
            <w:right w:val="none" w:sz="0" w:space="0" w:color="auto"/>
          </w:divBdr>
        </w:div>
      </w:divsChild>
    </w:div>
    <w:div w:id="13874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k12.org/book/ck-12-chemistry-concepts-intermediate/section/21.20/" TargetMode="External"/><Relationship Id="rId3" Type="http://schemas.openxmlformats.org/officeDocument/2006/relationships/webSettings" Target="webSettings.xml"/><Relationship Id="rId7" Type="http://schemas.openxmlformats.org/officeDocument/2006/relationships/hyperlink" Target="https://www.ck12.org/c/physical-science/ph?referrer=crossref" TargetMode="External"/><Relationship Id="rId12" Type="http://schemas.openxmlformats.org/officeDocument/2006/relationships/hyperlink" Target="https://www.ck12.org/c/physical-science/concentration?referrer=crossre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k12.org/c/physical-science/base?referrer=crossref" TargetMode="External"/><Relationship Id="rId11" Type="http://schemas.openxmlformats.org/officeDocument/2006/relationships/hyperlink" Target="https://www.ck12.org/c/physical-science/ph?referrer=crossref" TargetMode="External"/><Relationship Id="rId5" Type="http://schemas.openxmlformats.org/officeDocument/2006/relationships/hyperlink" Target="https://www.ck12.org/c/physical-science/acid?referrer=crossref" TargetMode="External"/><Relationship Id="rId15" Type="http://schemas.openxmlformats.org/officeDocument/2006/relationships/fontTable" Target="fontTable.xml"/><Relationship Id="rId10" Type="http://schemas.openxmlformats.org/officeDocument/2006/relationships/hyperlink" Target="https://www.ck12.org/c/physical-science/ph?referrer=crossref" TargetMode="External"/><Relationship Id="rId4" Type="http://schemas.openxmlformats.org/officeDocument/2006/relationships/hyperlink" Target="https://www.ck12.org/c/physical-science/base?referrer=crossref" TargetMode="External"/><Relationship Id="rId9" Type="http://schemas.microsoft.com/office/2007/relationships/hdphoto" Target="media/hdphoto1.wdp"/><Relationship Id="rId14" Type="http://schemas.openxmlformats.org/officeDocument/2006/relationships/hyperlink" Target="https://www.ck12.org/c/physics/color?referrer=crossr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dcterms:created xsi:type="dcterms:W3CDTF">2020-03-25T00:00:00Z</dcterms:created>
  <dcterms:modified xsi:type="dcterms:W3CDTF">2020-03-25T00:00:00Z</dcterms:modified>
</cp:coreProperties>
</file>